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1CB" w:rsidRDefault="000019EE">
      <w:pPr>
        <w:widowControl w:val="0"/>
        <w:autoSpaceDE w:val="0"/>
        <w:autoSpaceDN w:val="0"/>
        <w:adjustRightInd w:val="0"/>
        <w:spacing w:before="60" w:after="60" w:line="24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8"/>
          <w:szCs w:val="28"/>
        </w:rPr>
        <w:t>MINISTRY OF PLANNING AND INVESTMENT</w:t>
      </w:r>
    </w:p>
    <w:p w:rsidR="004451CB" w:rsidRDefault="004451CB">
      <w:pPr>
        <w:widowControl w:val="0"/>
        <w:autoSpaceDE w:val="0"/>
        <w:autoSpaceDN w:val="0"/>
        <w:adjustRightInd w:val="0"/>
        <w:spacing w:after="0" w:line="63" w:lineRule="exact"/>
        <w:rPr>
          <w:rFonts w:ascii="Times New Roman" w:hAnsi="Times New Roman" w:cs="Times New Roman"/>
          <w:sz w:val="24"/>
          <w:szCs w:val="24"/>
        </w:rPr>
      </w:pPr>
    </w:p>
    <w:p w:rsidR="004451CB" w:rsidRDefault="000019EE">
      <w:pPr>
        <w:widowControl w:val="0"/>
        <w:autoSpaceDE w:val="0"/>
        <w:autoSpaceDN w:val="0"/>
        <w:adjustRightInd w:val="0"/>
        <w:spacing w:before="60" w:after="0" w:line="240" w:lineRule="auto"/>
        <w:jc w:val="center"/>
        <w:rPr>
          <w:rFonts w:ascii="Times New Roman" w:hAnsi="Times New Roman" w:cs="Times New Roman"/>
          <w:sz w:val="24"/>
          <w:szCs w:val="24"/>
        </w:rPr>
      </w:pPr>
      <w:r>
        <w:rPr>
          <w:rFonts w:ascii="Times New Roman" w:hAnsi="Times New Roman" w:cs="Times New Roman"/>
          <w:b/>
          <w:bCs/>
          <w:sz w:val="28"/>
          <w:szCs w:val="28"/>
        </w:rPr>
        <w:t>GENERAL STATISTICS OFFICE</w:t>
      </w: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20" w:lineRule="exact"/>
        <w:rPr>
          <w:rFonts w:ascii="Times New Roman" w:hAnsi="Times New Roman" w:cs="Times New Roman"/>
          <w:sz w:val="24"/>
          <w:szCs w:val="24"/>
        </w:rPr>
      </w:pPr>
    </w:p>
    <w:p w:rsidR="004451CB" w:rsidRDefault="000019EE">
      <w:pPr>
        <w:widowControl w:val="0"/>
        <w:autoSpaceDE w:val="0"/>
        <w:autoSpaceDN w:val="0"/>
        <w:adjustRightInd w:val="0"/>
        <w:spacing w:after="0" w:line="240" w:lineRule="auto"/>
        <w:ind w:left="2140"/>
        <w:rPr>
          <w:rFonts w:ascii="Times New Roman" w:hAnsi="Times New Roman" w:cs="Times New Roman"/>
          <w:sz w:val="24"/>
          <w:szCs w:val="24"/>
        </w:rPr>
      </w:pPr>
      <w:r>
        <w:rPr>
          <w:rFonts w:ascii="Times New Roman" w:hAnsi="Times New Roman" w:cs="Times New Roman"/>
          <w:b/>
          <w:bCs/>
          <w:sz w:val="72"/>
          <w:szCs w:val="72"/>
        </w:rPr>
        <w:t>REPORT</w:t>
      </w:r>
    </w:p>
    <w:p w:rsidR="004451CB" w:rsidRDefault="004451CB">
      <w:pPr>
        <w:widowControl w:val="0"/>
        <w:autoSpaceDE w:val="0"/>
        <w:autoSpaceDN w:val="0"/>
        <w:adjustRightInd w:val="0"/>
        <w:spacing w:after="0" w:line="187" w:lineRule="exact"/>
        <w:rPr>
          <w:rFonts w:ascii="Times New Roman" w:hAnsi="Times New Roman" w:cs="Times New Roman"/>
          <w:sz w:val="24"/>
          <w:szCs w:val="24"/>
        </w:rPr>
      </w:pPr>
    </w:p>
    <w:p w:rsidR="004451CB" w:rsidRDefault="000019E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47"/>
          <w:szCs w:val="47"/>
        </w:rPr>
        <w:t>ON LABOUR FORCE SURVEY</w:t>
      </w:r>
    </w:p>
    <w:p w:rsidR="004451CB" w:rsidRDefault="004451CB">
      <w:pPr>
        <w:widowControl w:val="0"/>
        <w:autoSpaceDE w:val="0"/>
        <w:autoSpaceDN w:val="0"/>
        <w:adjustRightInd w:val="0"/>
        <w:spacing w:after="0" w:line="129" w:lineRule="exact"/>
        <w:rPr>
          <w:rFonts w:ascii="Times New Roman" w:hAnsi="Times New Roman" w:cs="Times New Roman"/>
          <w:sz w:val="24"/>
          <w:szCs w:val="24"/>
        </w:rPr>
      </w:pPr>
    </w:p>
    <w:p w:rsidR="004451CB" w:rsidRDefault="000019EE">
      <w:pPr>
        <w:widowControl w:val="0"/>
        <w:autoSpaceDE w:val="0"/>
        <w:autoSpaceDN w:val="0"/>
        <w:adjustRightInd w:val="0"/>
        <w:spacing w:after="0" w:line="240" w:lineRule="auto"/>
        <w:ind w:left="2420"/>
        <w:rPr>
          <w:rFonts w:ascii="Times New Roman" w:hAnsi="Times New Roman" w:cs="Times New Roman"/>
          <w:sz w:val="24"/>
          <w:szCs w:val="24"/>
        </w:rPr>
        <w:sectPr w:rsidR="004451CB">
          <w:footerReference w:type="default" r:id="rId8"/>
          <w:pgSz w:w="11900" w:h="16840"/>
          <w:pgMar w:top="1394" w:right="2000" w:bottom="1440" w:left="2280" w:header="720" w:footer="720" w:gutter="0"/>
          <w:cols w:space="720" w:equalWidth="0">
            <w:col w:w="7620"/>
          </w:cols>
          <w:noEndnote/>
        </w:sectPr>
      </w:pPr>
      <w:r>
        <w:rPr>
          <w:rFonts w:ascii="Times New Roman" w:hAnsi="Times New Roman" w:cs="Times New Roman"/>
          <w:b/>
          <w:bCs/>
          <w:sz w:val="40"/>
          <w:szCs w:val="40"/>
        </w:rPr>
        <w:t>Quarter 1, 2015</w:t>
      </w: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D954D5" w:rsidRDefault="00D954D5">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0019E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7"/>
          <w:szCs w:val="27"/>
        </w:rPr>
        <w:t>Ha Noi, 2015</w:t>
      </w:r>
    </w:p>
    <w:p w:rsidR="004451CB" w:rsidRDefault="004451CB">
      <w:pPr>
        <w:widowControl w:val="0"/>
        <w:autoSpaceDE w:val="0"/>
        <w:autoSpaceDN w:val="0"/>
        <w:adjustRightInd w:val="0"/>
        <w:spacing w:after="0" w:line="240" w:lineRule="auto"/>
        <w:rPr>
          <w:rFonts w:ascii="Times New Roman" w:hAnsi="Times New Roman" w:cs="Times New Roman"/>
          <w:sz w:val="24"/>
          <w:szCs w:val="24"/>
        </w:rPr>
        <w:sectPr w:rsidR="004451CB">
          <w:type w:val="continuous"/>
          <w:pgSz w:w="11900" w:h="16840"/>
          <w:pgMar w:top="1394" w:right="5040" w:bottom="1440" w:left="5320" w:header="720" w:footer="720" w:gutter="0"/>
          <w:cols w:space="720" w:equalWidth="0">
            <w:col w:w="1540"/>
          </w:cols>
          <w:noEndnote/>
        </w:sect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bookmarkStart w:id="1" w:name="page3"/>
      <w:bookmarkStart w:id="2" w:name="page5"/>
      <w:bookmarkEnd w:id="1"/>
      <w:bookmarkEnd w:id="2"/>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4451CB">
      <w:pPr>
        <w:widowControl w:val="0"/>
        <w:autoSpaceDE w:val="0"/>
        <w:autoSpaceDN w:val="0"/>
        <w:adjustRightInd w:val="0"/>
        <w:spacing w:after="0" w:line="240" w:lineRule="auto"/>
        <w:ind w:left="3240"/>
        <w:rPr>
          <w:rFonts w:ascii="Times New Roman" w:hAnsi="Times New Roman" w:cs="Times New Roman"/>
          <w:b/>
          <w:bCs/>
          <w:sz w:val="40"/>
          <w:szCs w:val="40"/>
        </w:rPr>
      </w:pPr>
    </w:p>
    <w:p w:rsidR="004451CB" w:rsidRDefault="000019EE">
      <w:pPr>
        <w:widowControl w:val="0"/>
        <w:autoSpaceDE w:val="0"/>
        <w:autoSpaceDN w:val="0"/>
        <w:adjustRightInd w:val="0"/>
        <w:spacing w:after="0" w:line="240" w:lineRule="auto"/>
        <w:ind w:left="3240"/>
        <w:rPr>
          <w:rFonts w:ascii="Times New Roman" w:hAnsi="Times New Roman" w:cs="Times New Roman"/>
          <w:sz w:val="24"/>
          <w:szCs w:val="24"/>
        </w:rPr>
      </w:pPr>
      <w:r>
        <w:rPr>
          <w:rFonts w:ascii="Times New Roman" w:hAnsi="Times New Roman" w:cs="Times New Roman"/>
          <w:b/>
          <w:bCs/>
          <w:sz w:val="40"/>
          <w:szCs w:val="40"/>
        </w:rPr>
        <w:t>INTRODUCTION</w:t>
      </w: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0019EE">
      <w:pPr>
        <w:widowControl w:val="0"/>
        <w:overflowPunct w:val="0"/>
        <w:autoSpaceDE w:val="0"/>
        <w:autoSpaceDN w:val="0"/>
        <w:adjustRightInd w:val="0"/>
        <w:spacing w:after="0" w:line="289" w:lineRule="auto"/>
        <w:ind w:right="20" w:firstLine="722"/>
        <w:jc w:val="both"/>
        <w:rPr>
          <w:rFonts w:ascii="Times New Roman" w:hAnsi="Times New Roman" w:cs="Times New Roman"/>
          <w:sz w:val="28"/>
          <w:szCs w:val="28"/>
        </w:rPr>
      </w:pPr>
      <w:r>
        <w:rPr>
          <w:rFonts w:ascii="Times New Roman" w:hAnsi="Times New Roman" w:cs="Times New Roman"/>
          <w:sz w:val="28"/>
          <w:szCs w:val="28"/>
        </w:rPr>
        <w:t xml:space="preserve">On 10 November 2014, the General Director of General Statistic Office issued Decision No 1287/QD-TCTK on the 2015 Labour force survey, along with its survey plan. The purpose of the survey was to collect the information on 2015 labor market participation from those people who are 15 years old and above currently residing in Vietnam; regarded as a basic for aggregating and compiling national statistical indicators on labor, employment, unemployment and income. These results would support for ministries and branches assessing and comparing the changes in labour market among quarters within the reference year as well as with those of previous annual labour force surveys conducted by GSO. These results would be also considered as a basic to develop and plan policies on human resource development; activities of investment, production and business accordant with the development trend on labor market; as well as to access and apply International Labor Organization’s updated recommendations on labor and employment, especially in term of “labor under-utilization” into the reality of Vietnam. The statistics would be aggregated quarterly for the national and regional levels; and yearly for the provincial level. </w:t>
      </w:r>
    </w:p>
    <w:p w:rsidR="004451CB" w:rsidRDefault="004451CB">
      <w:pPr>
        <w:widowControl w:val="0"/>
        <w:overflowPunct w:val="0"/>
        <w:autoSpaceDE w:val="0"/>
        <w:autoSpaceDN w:val="0"/>
        <w:adjustRightInd w:val="0"/>
        <w:spacing w:after="0" w:line="289" w:lineRule="auto"/>
        <w:ind w:right="20" w:firstLine="722"/>
        <w:jc w:val="both"/>
        <w:rPr>
          <w:rFonts w:ascii="Times New Roman" w:hAnsi="Times New Roman" w:cs="Times New Roman"/>
          <w:sz w:val="28"/>
          <w:szCs w:val="28"/>
        </w:rPr>
      </w:pPr>
    </w:p>
    <w:p w:rsidR="004451CB" w:rsidRDefault="000019EE">
      <w:pPr>
        <w:widowControl w:val="0"/>
        <w:overflowPunct w:val="0"/>
        <w:autoSpaceDE w:val="0"/>
        <w:autoSpaceDN w:val="0"/>
        <w:adjustRightInd w:val="0"/>
        <w:spacing w:after="0" w:line="290" w:lineRule="auto"/>
        <w:ind w:right="20" w:firstLine="722"/>
        <w:jc w:val="both"/>
        <w:rPr>
          <w:rFonts w:ascii="Times New Roman" w:hAnsi="Times New Roman" w:cs="Times New Roman"/>
          <w:sz w:val="28"/>
          <w:szCs w:val="28"/>
        </w:rPr>
      </w:pPr>
      <w:r>
        <w:rPr>
          <w:rFonts w:ascii="Times New Roman" w:hAnsi="Times New Roman" w:cs="Times New Roman"/>
          <w:sz w:val="28"/>
          <w:szCs w:val="28"/>
        </w:rPr>
        <w:t>This report would present major findings of labour force survey in quarter 1, 2015 in order to provide information about labour market and employment for users. As a result of the survey coverage on labor market only relating to those people who were 15 years old, currently residing in Vietnam at the survey period, therefore, the indicators on labor and employment presented in this report would mainly be calculated for those persons aged 15 and above. However, due to the demand of researching, assessing and analyzing information about the labour market and employment situation for the working age group (including males aged from 15 to 59 and females aged from 15 to 54), the report would also provide some basic indicators on labor and employment for this group.</w:t>
      </w:r>
    </w:p>
    <w:p w:rsidR="004451CB" w:rsidRDefault="004451CB">
      <w:pPr>
        <w:widowControl w:val="0"/>
        <w:overflowPunct w:val="0"/>
        <w:autoSpaceDE w:val="0"/>
        <w:autoSpaceDN w:val="0"/>
        <w:adjustRightInd w:val="0"/>
        <w:spacing w:after="0" w:line="290" w:lineRule="auto"/>
        <w:ind w:right="20" w:firstLine="722"/>
        <w:jc w:val="both"/>
        <w:rPr>
          <w:rFonts w:ascii="Times New Roman" w:hAnsi="Times New Roman" w:cs="Times New Roman"/>
          <w:sz w:val="28"/>
          <w:szCs w:val="28"/>
        </w:rPr>
      </w:pPr>
    </w:p>
    <w:p w:rsidR="004451CB" w:rsidRDefault="000019EE">
      <w:pPr>
        <w:widowControl w:val="0"/>
        <w:overflowPunct w:val="0"/>
        <w:autoSpaceDE w:val="0"/>
        <w:autoSpaceDN w:val="0"/>
        <w:adjustRightInd w:val="0"/>
        <w:spacing w:after="0" w:line="297" w:lineRule="auto"/>
        <w:ind w:right="20" w:firstLine="721"/>
        <w:jc w:val="both"/>
        <w:rPr>
          <w:rFonts w:ascii="Times New Roman" w:hAnsi="Times New Roman" w:cs="Times New Roman"/>
          <w:sz w:val="28"/>
          <w:szCs w:val="28"/>
        </w:rPr>
      </w:pPr>
      <w:r>
        <w:rPr>
          <w:rFonts w:ascii="Times New Roman" w:hAnsi="Times New Roman" w:cs="Times New Roman"/>
          <w:sz w:val="28"/>
          <w:szCs w:val="28"/>
        </w:rPr>
        <w:t xml:space="preserve">The 2015 Labor force survey has received technical supports of International Labor Organization (ILO). GSO highly appreciates these </w:t>
      </w:r>
      <w:r>
        <w:rPr>
          <w:rFonts w:ascii="Times New Roman" w:hAnsi="Times New Roman" w:cs="Times New Roman"/>
          <w:sz w:val="28"/>
          <w:szCs w:val="28"/>
        </w:rPr>
        <w:lastRenderedPageBreak/>
        <w:t xml:space="preserve">supports and wishes to continuously receive more supports from ILO in succeeding surveys. </w:t>
      </w:r>
    </w:p>
    <w:p w:rsidR="004451CB" w:rsidRDefault="004451CB">
      <w:pPr>
        <w:widowControl w:val="0"/>
        <w:overflowPunct w:val="0"/>
        <w:autoSpaceDE w:val="0"/>
        <w:autoSpaceDN w:val="0"/>
        <w:adjustRightInd w:val="0"/>
        <w:spacing w:after="0" w:line="297" w:lineRule="auto"/>
        <w:ind w:right="20" w:firstLine="721"/>
        <w:jc w:val="both"/>
        <w:rPr>
          <w:rFonts w:ascii="Times New Roman" w:hAnsi="Times New Roman" w:cs="Times New Roman"/>
          <w:sz w:val="28"/>
          <w:szCs w:val="28"/>
        </w:rPr>
      </w:pPr>
    </w:p>
    <w:p w:rsidR="004451CB" w:rsidRDefault="000019EE">
      <w:pPr>
        <w:widowControl w:val="0"/>
        <w:overflowPunct w:val="0"/>
        <w:autoSpaceDE w:val="0"/>
        <w:autoSpaceDN w:val="0"/>
        <w:adjustRightInd w:val="0"/>
        <w:spacing w:after="0" w:line="297" w:lineRule="auto"/>
        <w:ind w:right="20" w:firstLine="721"/>
        <w:jc w:val="both"/>
        <w:rPr>
          <w:rFonts w:ascii="Times New Roman" w:hAnsi="Times New Roman" w:cs="Times New Roman"/>
          <w:sz w:val="28"/>
          <w:szCs w:val="28"/>
        </w:rPr>
      </w:pPr>
      <w:r>
        <w:rPr>
          <w:rFonts w:ascii="Times New Roman" w:hAnsi="Times New Roman" w:cs="Times New Roman"/>
          <w:sz w:val="28"/>
          <w:szCs w:val="28"/>
        </w:rPr>
        <w:t>GSO hopes that this report will meet requirements of basic information for social economic policy markers, especially for those who are engaging into the field of labor and employment. We warmly welcome all constructive comments from readers.</w:t>
      </w:r>
    </w:p>
    <w:p w:rsidR="004451CB" w:rsidRDefault="004451CB">
      <w:pPr>
        <w:widowControl w:val="0"/>
        <w:autoSpaceDE w:val="0"/>
        <w:autoSpaceDN w:val="0"/>
        <w:adjustRightInd w:val="0"/>
        <w:spacing w:after="0" w:line="240" w:lineRule="auto"/>
        <w:rPr>
          <w:rFonts w:ascii="Times New Roman" w:hAnsi="Times New Roman" w:cs="Times New Roman"/>
          <w:sz w:val="28"/>
          <w:szCs w:val="28"/>
        </w:rPr>
      </w:pPr>
      <w:bookmarkStart w:id="3" w:name="page7"/>
      <w:bookmarkEnd w:id="3"/>
    </w:p>
    <w:p w:rsidR="004451CB" w:rsidRDefault="000019EE">
      <w:pPr>
        <w:widowControl w:val="0"/>
        <w:autoSpaceDE w:val="0"/>
        <w:autoSpaceDN w:val="0"/>
        <w:adjustRightInd w:val="0"/>
        <w:spacing w:after="0" w:line="240" w:lineRule="auto"/>
        <w:ind w:firstLine="720"/>
        <w:rPr>
          <w:rFonts w:ascii="Times New Roman" w:hAnsi="Times New Roman" w:cs="Times New Roman"/>
          <w:sz w:val="28"/>
          <w:szCs w:val="28"/>
        </w:rPr>
      </w:pPr>
      <w:r>
        <w:rPr>
          <w:rFonts w:ascii="Times New Roman" w:hAnsi="Times New Roman" w:cs="Times New Roman"/>
          <w:sz w:val="28"/>
          <w:szCs w:val="28"/>
        </w:rPr>
        <w:t>Sincere thanks./.</w:t>
      </w:r>
    </w:p>
    <w:p w:rsidR="004451CB" w:rsidRDefault="004451CB">
      <w:pPr>
        <w:widowControl w:val="0"/>
        <w:autoSpaceDE w:val="0"/>
        <w:autoSpaceDN w:val="0"/>
        <w:adjustRightInd w:val="0"/>
        <w:spacing w:after="0" w:line="240" w:lineRule="auto"/>
        <w:ind w:left="720"/>
        <w:rPr>
          <w:rFonts w:ascii="Times New Roman" w:hAnsi="Times New Roman" w:cs="Times New Roman"/>
          <w:sz w:val="28"/>
          <w:szCs w:val="28"/>
        </w:rPr>
      </w:pPr>
    </w:p>
    <w:p w:rsidR="004451CB" w:rsidRDefault="000019EE">
      <w:pPr>
        <w:widowControl w:val="0"/>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8"/>
          <w:szCs w:val="28"/>
        </w:rPr>
        <w:t>For comments and information in details, please contact to:</w:t>
      </w:r>
    </w:p>
    <w:p w:rsidR="004451CB" w:rsidRDefault="000019EE">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Department of Population and Labor Statistics, General Statistics Office, 6B Hoang Dieu, Ha Noi.</w:t>
      </w:r>
    </w:p>
    <w:p w:rsidR="004451CB" w:rsidRDefault="004451CB">
      <w:pPr>
        <w:widowControl w:val="0"/>
        <w:autoSpaceDE w:val="0"/>
        <w:autoSpaceDN w:val="0"/>
        <w:adjustRightInd w:val="0"/>
        <w:spacing w:after="0" w:line="206" w:lineRule="exact"/>
        <w:rPr>
          <w:rFonts w:ascii="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1700"/>
        <w:gridCol w:w="1020"/>
        <w:gridCol w:w="320"/>
        <w:gridCol w:w="840"/>
        <w:gridCol w:w="1920"/>
      </w:tblGrid>
      <w:tr w:rsidR="004451CB">
        <w:trPr>
          <w:trHeight w:val="365"/>
        </w:trPr>
        <w:tc>
          <w:tcPr>
            <w:tcW w:w="170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Tel:</w:t>
            </w:r>
          </w:p>
        </w:tc>
        <w:tc>
          <w:tcPr>
            <w:tcW w:w="102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ind w:left="460"/>
              <w:rPr>
                <w:rFonts w:ascii="Times New Roman" w:hAnsi="Times New Roman" w:cs="Times New Roman"/>
                <w:sz w:val="24"/>
                <w:szCs w:val="24"/>
              </w:rPr>
            </w:pPr>
            <w:r>
              <w:rPr>
                <w:rFonts w:ascii="Times New Roman" w:hAnsi="Times New Roman" w:cs="Times New Roman"/>
                <w:sz w:val="28"/>
                <w:szCs w:val="28"/>
              </w:rPr>
              <w:t>+(84</w:t>
            </w:r>
          </w:p>
        </w:tc>
        <w:tc>
          <w:tcPr>
            <w:tcW w:w="32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4)</w:t>
            </w:r>
          </w:p>
        </w:tc>
        <w:tc>
          <w:tcPr>
            <w:tcW w:w="84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38 230</w:t>
            </w:r>
          </w:p>
        </w:tc>
        <w:tc>
          <w:tcPr>
            <w:tcW w:w="192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w w:val="99"/>
                <w:sz w:val="28"/>
                <w:szCs w:val="28"/>
              </w:rPr>
              <w:t>100, 38 433 353;</w:t>
            </w:r>
          </w:p>
        </w:tc>
      </w:tr>
      <w:tr w:rsidR="004451CB">
        <w:trPr>
          <w:trHeight w:val="506"/>
        </w:trPr>
        <w:tc>
          <w:tcPr>
            <w:tcW w:w="170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Fax:</w:t>
            </w:r>
          </w:p>
        </w:tc>
        <w:tc>
          <w:tcPr>
            <w:tcW w:w="102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ind w:left="460"/>
              <w:rPr>
                <w:rFonts w:ascii="Times New Roman" w:hAnsi="Times New Roman" w:cs="Times New Roman"/>
                <w:sz w:val="24"/>
                <w:szCs w:val="24"/>
              </w:rPr>
            </w:pPr>
            <w:r>
              <w:rPr>
                <w:rFonts w:ascii="Times New Roman" w:hAnsi="Times New Roman" w:cs="Times New Roman"/>
                <w:sz w:val="28"/>
                <w:szCs w:val="28"/>
              </w:rPr>
              <w:t>+(84</w:t>
            </w:r>
          </w:p>
        </w:tc>
        <w:tc>
          <w:tcPr>
            <w:tcW w:w="32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4)</w:t>
            </w:r>
          </w:p>
        </w:tc>
        <w:tc>
          <w:tcPr>
            <w:tcW w:w="84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37 339</w:t>
            </w:r>
          </w:p>
        </w:tc>
        <w:tc>
          <w:tcPr>
            <w:tcW w:w="192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28"/>
                <w:szCs w:val="28"/>
              </w:rPr>
              <w:t>287;</w:t>
            </w:r>
          </w:p>
        </w:tc>
      </w:tr>
      <w:tr w:rsidR="004451CB">
        <w:trPr>
          <w:trHeight w:val="506"/>
        </w:trPr>
        <w:tc>
          <w:tcPr>
            <w:tcW w:w="1700" w:type="dxa"/>
            <w:tcBorders>
              <w:top w:val="nil"/>
              <w:left w:val="nil"/>
              <w:bottom w:val="nil"/>
              <w:right w:val="nil"/>
            </w:tcBorders>
            <w:vAlign w:val="bottom"/>
          </w:tcPr>
          <w:p w:rsidR="004451CB" w:rsidRDefault="000019E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Email:</w:t>
            </w:r>
          </w:p>
        </w:tc>
        <w:tc>
          <w:tcPr>
            <w:tcW w:w="4100" w:type="dxa"/>
            <w:gridSpan w:val="4"/>
            <w:tcBorders>
              <w:top w:val="nil"/>
              <w:left w:val="nil"/>
              <w:bottom w:val="nil"/>
              <w:right w:val="nil"/>
            </w:tcBorders>
            <w:vAlign w:val="bottom"/>
          </w:tcPr>
          <w:p w:rsidR="004451CB" w:rsidRDefault="000019EE">
            <w:pPr>
              <w:widowControl w:val="0"/>
              <w:autoSpaceDE w:val="0"/>
              <w:autoSpaceDN w:val="0"/>
              <w:adjustRightInd w:val="0"/>
              <w:spacing w:after="0" w:line="240" w:lineRule="auto"/>
              <w:ind w:left="460"/>
              <w:rPr>
                <w:rFonts w:ascii="Times New Roman" w:hAnsi="Times New Roman" w:cs="Times New Roman"/>
                <w:sz w:val="24"/>
                <w:szCs w:val="24"/>
              </w:rPr>
            </w:pPr>
            <w:r>
              <w:rPr>
                <w:rFonts w:ascii="Times New Roman" w:hAnsi="Times New Roman" w:cs="Times New Roman"/>
                <w:sz w:val="28"/>
                <w:szCs w:val="28"/>
              </w:rPr>
              <w:t>dansolaodong@gso.gov.vn</w:t>
            </w:r>
          </w:p>
        </w:tc>
      </w:tr>
    </w:tbl>
    <w:p w:rsidR="004451CB" w:rsidRDefault="004451CB">
      <w:pPr>
        <w:widowControl w:val="0"/>
        <w:autoSpaceDE w:val="0"/>
        <w:autoSpaceDN w:val="0"/>
        <w:adjustRightInd w:val="0"/>
        <w:spacing w:after="0" w:line="376" w:lineRule="exact"/>
        <w:rPr>
          <w:rFonts w:ascii="Times New Roman" w:hAnsi="Times New Roman" w:cs="Times New Roman"/>
          <w:sz w:val="24"/>
          <w:szCs w:val="24"/>
        </w:rPr>
      </w:pPr>
    </w:p>
    <w:p w:rsidR="004451CB" w:rsidRDefault="000019EE">
      <w:pPr>
        <w:widowControl w:val="0"/>
        <w:overflowPunct w:val="0"/>
        <w:autoSpaceDE w:val="0"/>
        <w:autoSpaceDN w:val="0"/>
        <w:adjustRightInd w:val="0"/>
        <w:spacing w:after="0" w:line="240" w:lineRule="auto"/>
        <w:jc w:val="right"/>
        <w:rPr>
          <w:rFonts w:ascii="Times New Roman" w:hAnsi="Times New Roman" w:cs="Times New Roman"/>
          <w:sz w:val="24"/>
          <w:szCs w:val="24"/>
        </w:rPr>
        <w:sectPr w:rsidR="004451CB">
          <w:pgSz w:w="11904" w:h="16840"/>
          <w:pgMar w:top="1394" w:right="1400" w:bottom="706" w:left="1700" w:header="720" w:footer="720" w:gutter="0"/>
          <w:cols w:space="720" w:equalWidth="0">
            <w:col w:w="8800"/>
          </w:cols>
          <w:noEndnote/>
        </w:sectPr>
      </w:pPr>
      <w:r>
        <w:rPr>
          <w:rFonts w:ascii="Times New Roman" w:hAnsi="Times New Roman" w:cs="Times New Roman"/>
          <w:b/>
          <w:bCs/>
          <w:sz w:val="28"/>
          <w:szCs w:val="28"/>
        </w:rPr>
        <w:t>GENERAL STATISTICS OFFICE</w:t>
      </w:r>
    </w:p>
    <w:p w:rsidR="004451CB" w:rsidRDefault="000019EE">
      <w:pPr>
        <w:jc w:val="center"/>
        <w:rPr>
          <w:rFonts w:ascii="Times New Roman Bold" w:eastAsia="Times New Roman" w:hAnsi="Times New Roman Bold" w:cs="Times New Roman"/>
          <w:b/>
          <w:bCs/>
          <w:sz w:val="37"/>
          <w:szCs w:val="37"/>
        </w:rPr>
      </w:pPr>
      <w:r>
        <w:rPr>
          <w:rFonts w:ascii="Times New Roman Bold" w:eastAsia="Times New Roman" w:hAnsi="Times New Roman Bold" w:cs="Times New Roman"/>
          <w:b/>
          <w:bCs/>
          <w:sz w:val="37"/>
          <w:szCs w:val="37"/>
        </w:rPr>
        <w:lastRenderedPageBreak/>
        <w:t>TABLE OF CONTENTS</w:t>
      </w:r>
    </w:p>
    <w:p w:rsidR="004451CB" w:rsidRDefault="004451CB">
      <w:pPr>
        <w:jc w:val="center"/>
        <w:rPr>
          <w:rFonts w:ascii="Times New Roman Bold" w:eastAsia="Times New Roman" w:hAnsi="Times New Roman Bold" w:cs="Times New Roman"/>
          <w:b/>
          <w:bCs/>
          <w:sz w:val="37"/>
          <w:szCs w:val="3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Introduction</w:t>
            </w:r>
            <w:r>
              <w:rPr>
                <w:rFonts w:ascii="Times New Roman" w:eastAsia="Times New Roman" w:hAnsi="Times New Roman" w:cs="Times New Roman"/>
                <w:sz w:val="28"/>
                <w:szCs w:val="28"/>
              </w:rPr>
              <w:tab/>
            </w:r>
            <w:r w:rsidR="00D954D5">
              <w:rPr>
                <w:rFonts w:ascii="Times New Roman" w:eastAsia="Times New Roman" w:hAnsi="Times New Roman" w:cs="Times New Roman"/>
                <w:sz w:val="28"/>
                <w:szCs w:val="28"/>
              </w:rPr>
              <w:t>1</w:t>
            </w:r>
          </w:p>
        </w:tc>
      </w:tr>
      <w:tr w:rsidR="004451CB">
        <w:tc>
          <w:tcPr>
            <w:tcW w:w="9016" w:type="dxa"/>
          </w:tcPr>
          <w:p w:rsidR="004451CB" w:rsidRDefault="000019EE" w:rsidP="00D954D5">
            <w:pPr>
              <w:tabs>
                <w:tab w:val="right" w:leader="dot" w:pos="8640"/>
              </w:tabs>
              <w:spacing w:after="120" w:line="3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Contents</w:t>
            </w:r>
            <w:r>
              <w:rPr>
                <w:rFonts w:ascii="Times New Roman" w:eastAsia="Times New Roman" w:hAnsi="Times New Roman" w:cs="Times New Roman"/>
                <w:sz w:val="28"/>
                <w:szCs w:val="28"/>
              </w:rPr>
              <w:tab/>
            </w:r>
            <w:r w:rsidR="00D954D5">
              <w:rPr>
                <w:rFonts w:ascii="Times New Roman" w:eastAsia="Times New Roman" w:hAnsi="Times New Roman" w:cs="Times New Roman"/>
                <w:sz w:val="28"/>
                <w:szCs w:val="28"/>
              </w:rPr>
              <w:t>5</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I SUMMARY</w:t>
            </w:r>
            <w:r>
              <w:rPr>
                <w:rFonts w:ascii="Times New Roman" w:eastAsia="Times New Roman" w:hAnsi="Times New Roman" w:cs="Times New Roman"/>
                <w:b/>
                <w:sz w:val="28"/>
                <w:szCs w:val="28"/>
              </w:rPr>
              <w:tab/>
            </w:r>
            <w:r w:rsidR="00D954D5">
              <w:rPr>
                <w:rFonts w:ascii="Times New Roman" w:eastAsia="Times New Roman" w:hAnsi="Times New Roman" w:cs="Times New Roman"/>
                <w:b/>
                <w:sz w:val="28"/>
                <w:szCs w:val="28"/>
              </w:rPr>
              <w:t>7</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II. MAJOR FINDINGS</w:t>
            </w:r>
            <w:r>
              <w:rPr>
                <w:rFonts w:ascii="Times New Roman" w:eastAsia="Times New Roman" w:hAnsi="Times New Roman" w:cs="Times New Roman"/>
                <w:b/>
                <w:sz w:val="28"/>
                <w:szCs w:val="28"/>
              </w:rPr>
              <w:tab/>
            </w:r>
            <w:r w:rsidR="00D954D5">
              <w:rPr>
                <w:rFonts w:ascii="Times New Roman" w:eastAsia="Times New Roman" w:hAnsi="Times New Roman" w:cs="Times New Roman"/>
                <w:b/>
                <w:sz w:val="28"/>
                <w:szCs w:val="28"/>
              </w:rPr>
              <w:t>10</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Labour force</w:t>
            </w:r>
            <w:r>
              <w:rPr>
                <w:rFonts w:ascii="Times New Roman" w:eastAsia="Times New Roman" w:hAnsi="Times New Roman" w:cs="Times New Roman"/>
                <w:b/>
                <w:sz w:val="28"/>
                <w:szCs w:val="28"/>
              </w:rPr>
              <w:tab/>
            </w:r>
            <w:r w:rsidR="00D954D5">
              <w:rPr>
                <w:rFonts w:ascii="Times New Roman" w:eastAsia="Times New Roman" w:hAnsi="Times New Roman" w:cs="Times New Roman"/>
                <w:b/>
                <w:sz w:val="28"/>
                <w:szCs w:val="28"/>
              </w:rPr>
              <w:t>10</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1.1 Size of labour force and labour force participation rate</w:t>
            </w:r>
            <w:r>
              <w:rPr>
                <w:rFonts w:ascii="Times New Roman" w:eastAsia="Times New Roman" w:hAnsi="Times New Roman" w:cs="Times New Roman"/>
                <w:sz w:val="28"/>
                <w:szCs w:val="28"/>
              </w:rPr>
              <w:tab/>
            </w:r>
            <w:r w:rsidR="005D48AC">
              <w:rPr>
                <w:rFonts w:ascii="Times New Roman" w:eastAsia="Times New Roman" w:hAnsi="Times New Roman" w:cs="Times New Roman"/>
                <w:sz w:val="28"/>
                <w:szCs w:val="28"/>
              </w:rPr>
              <w:t>10</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1.2 Age structure of labour force</w:t>
            </w:r>
            <w:r>
              <w:rPr>
                <w:rFonts w:ascii="Times New Roman" w:eastAsia="Times New Roman" w:hAnsi="Times New Roman" w:cs="Times New Roman"/>
                <w:sz w:val="28"/>
                <w:szCs w:val="28"/>
              </w:rPr>
              <w:tab/>
            </w:r>
            <w:r w:rsidR="005D48AC">
              <w:rPr>
                <w:rFonts w:ascii="Times New Roman" w:eastAsia="Times New Roman" w:hAnsi="Times New Roman" w:cs="Times New Roman"/>
                <w:sz w:val="28"/>
                <w:szCs w:val="28"/>
              </w:rPr>
              <w:t>11</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Employment</w:t>
            </w:r>
            <w:r>
              <w:rPr>
                <w:rFonts w:ascii="Times New Roman" w:eastAsia="Times New Roman" w:hAnsi="Times New Roman" w:cs="Times New Roman"/>
                <w:b/>
                <w:sz w:val="28"/>
                <w:szCs w:val="28"/>
              </w:rPr>
              <w:tab/>
            </w:r>
            <w:r w:rsidR="005D48AC">
              <w:rPr>
                <w:rFonts w:ascii="Times New Roman" w:eastAsia="Times New Roman" w:hAnsi="Times New Roman" w:cs="Times New Roman"/>
                <w:b/>
                <w:sz w:val="28"/>
                <w:szCs w:val="28"/>
              </w:rPr>
              <w:t>12</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Underemployment and unemployment</w:t>
            </w:r>
            <w:r>
              <w:rPr>
                <w:rFonts w:ascii="Times New Roman" w:eastAsia="Times New Roman" w:hAnsi="Times New Roman" w:cs="Times New Roman"/>
                <w:b/>
                <w:sz w:val="28"/>
                <w:szCs w:val="28"/>
              </w:rPr>
              <w:tab/>
            </w:r>
            <w:r w:rsidR="005D48AC">
              <w:rPr>
                <w:rFonts w:ascii="Times New Roman" w:eastAsia="Times New Roman" w:hAnsi="Times New Roman" w:cs="Times New Roman"/>
                <w:b/>
                <w:sz w:val="28"/>
                <w:szCs w:val="28"/>
              </w:rPr>
              <w:t>14</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3.1 Number of underemployed and unemployed laborers</w:t>
            </w:r>
            <w:r>
              <w:rPr>
                <w:rFonts w:ascii="Times New Roman" w:eastAsia="Times New Roman" w:hAnsi="Times New Roman" w:cs="Times New Roman"/>
                <w:sz w:val="28"/>
                <w:szCs w:val="28"/>
              </w:rPr>
              <w:tab/>
            </w:r>
            <w:r w:rsidR="005D48AC">
              <w:rPr>
                <w:rFonts w:ascii="Times New Roman" w:eastAsia="Times New Roman" w:hAnsi="Times New Roman" w:cs="Times New Roman"/>
                <w:sz w:val="28"/>
                <w:szCs w:val="28"/>
              </w:rPr>
              <w:t>14</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3.2 Underemployment rate and unemployment rate</w:t>
            </w:r>
            <w:r>
              <w:rPr>
                <w:rFonts w:ascii="Times New Roman" w:eastAsia="Times New Roman" w:hAnsi="Times New Roman" w:cs="Times New Roman"/>
                <w:sz w:val="28"/>
                <w:szCs w:val="28"/>
              </w:rPr>
              <w:tab/>
            </w:r>
            <w:r w:rsidR="005D48AC">
              <w:rPr>
                <w:rFonts w:ascii="Times New Roman" w:eastAsia="Times New Roman" w:hAnsi="Times New Roman" w:cs="Times New Roman"/>
                <w:sz w:val="28"/>
                <w:szCs w:val="28"/>
              </w:rPr>
              <w:t>17</w:t>
            </w:r>
          </w:p>
        </w:tc>
      </w:tr>
      <w:tr w:rsidR="004451CB">
        <w:tc>
          <w:tcPr>
            <w:tcW w:w="9016" w:type="dxa"/>
          </w:tcPr>
          <w:p w:rsidR="004451CB" w:rsidRDefault="000019EE">
            <w:pPr>
              <w:tabs>
                <w:tab w:val="right" w:leader="dot" w:pos="8640"/>
              </w:tabs>
              <w:spacing w:after="12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III. TABULATED TABLES</w:t>
            </w:r>
            <w:r>
              <w:rPr>
                <w:rFonts w:ascii="Times New Roman" w:eastAsia="Times New Roman" w:hAnsi="Times New Roman" w:cs="Times New Roman"/>
                <w:b/>
                <w:sz w:val="28"/>
                <w:szCs w:val="28"/>
              </w:rPr>
              <w:tab/>
            </w:r>
            <w:r w:rsidR="005D48AC">
              <w:rPr>
                <w:rFonts w:ascii="Times New Roman" w:eastAsia="Times New Roman" w:hAnsi="Times New Roman" w:cs="Times New Roman"/>
                <w:b/>
                <w:sz w:val="28"/>
                <w:szCs w:val="28"/>
              </w:rPr>
              <w:t>21</w:t>
            </w:r>
          </w:p>
        </w:tc>
      </w:tr>
    </w:tbl>
    <w:p w:rsidR="004451CB" w:rsidRDefault="004451CB">
      <w:pPr>
        <w:spacing w:before="3" w:line="120" w:lineRule="atLeast"/>
        <w:rPr>
          <w:rFonts w:ascii="Times New Roman" w:eastAsia="Times New Roman" w:hAnsi="Times New Roman" w:cs="Times New Roman"/>
          <w:sz w:val="28"/>
          <w:szCs w:val="28"/>
        </w:rPr>
      </w:pPr>
    </w:p>
    <w:p w:rsidR="004451CB" w:rsidRDefault="004451CB">
      <w:pPr>
        <w:spacing w:line="200" w:lineRule="atLeast"/>
        <w:rPr>
          <w:rFonts w:ascii="Times New Roman" w:eastAsia="Times New Roman" w:hAnsi="Times New Roman" w:cs="Times New Roman"/>
          <w:sz w:val="17"/>
          <w:szCs w:val="17"/>
        </w:rPr>
      </w:pPr>
    </w:p>
    <w:p w:rsidR="004451CB" w:rsidRDefault="004451CB">
      <w:pPr>
        <w:spacing w:line="200" w:lineRule="atLeast"/>
        <w:rPr>
          <w:rFonts w:ascii="Times New Roman" w:eastAsia="Times New Roman" w:hAnsi="Times New Roman" w:cs="Times New Roman"/>
          <w:sz w:val="17"/>
          <w:szCs w:val="17"/>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00" w:lineRule="exact"/>
        <w:rPr>
          <w:rFonts w:ascii="Times New Roman" w:hAnsi="Times New Roman" w:cs="Times New Roman"/>
          <w:sz w:val="24"/>
          <w:szCs w:val="24"/>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bookmarkStart w:id="4" w:name="page13"/>
      <w:bookmarkEnd w:id="4"/>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4451CB" w:rsidRDefault="004451CB">
      <w:pPr>
        <w:widowControl w:val="0"/>
        <w:autoSpaceDE w:val="0"/>
        <w:autoSpaceDN w:val="0"/>
        <w:adjustRightInd w:val="0"/>
        <w:spacing w:after="0" w:line="240" w:lineRule="auto"/>
        <w:rPr>
          <w:rFonts w:ascii="Times New Roman" w:hAnsi="Times New Roman" w:cs="Times New Roman"/>
          <w:b/>
          <w:bCs/>
          <w:sz w:val="28"/>
          <w:szCs w:val="28"/>
        </w:rPr>
      </w:pPr>
    </w:p>
    <w:p w:rsidR="00D954D5" w:rsidRDefault="00D954D5">
      <w:pPr>
        <w:rPr>
          <w:rFonts w:ascii="Times New Roman" w:hAnsi="Times New Roman" w:cs="Times New Roman"/>
          <w:b/>
          <w:bCs/>
          <w:sz w:val="28"/>
          <w:szCs w:val="28"/>
        </w:rPr>
      </w:pPr>
      <w:r>
        <w:rPr>
          <w:rFonts w:ascii="Times New Roman" w:hAnsi="Times New Roman" w:cs="Times New Roman"/>
          <w:b/>
          <w:bCs/>
          <w:sz w:val="28"/>
          <w:szCs w:val="28"/>
        </w:rPr>
        <w:br w:type="page"/>
      </w:r>
    </w:p>
    <w:p w:rsidR="004451CB" w:rsidRDefault="000019EE">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b/>
          <w:bCs/>
          <w:sz w:val="28"/>
          <w:szCs w:val="28"/>
        </w:rPr>
        <w:lastRenderedPageBreak/>
        <w:t>I. SUMMARY</w:t>
      </w:r>
    </w:p>
    <w:p w:rsidR="004451CB" w:rsidRDefault="000019EE">
      <w:pPr>
        <w:widowControl w:val="0"/>
        <w:numPr>
          <w:ilvl w:val="0"/>
          <w:numId w:val="1"/>
        </w:numPr>
        <w:tabs>
          <w:tab w:val="clear" w:pos="720"/>
          <w:tab w:val="num" w:pos="360"/>
        </w:tabs>
        <w:overflowPunct w:val="0"/>
        <w:autoSpaceDE w:val="0"/>
        <w:autoSpaceDN w:val="0"/>
        <w:adjustRightInd w:val="0"/>
        <w:spacing w:before="120" w:after="0" w:line="294" w:lineRule="auto"/>
        <w:ind w:left="360" w:hanging="358"/>
        <w:jc w:val="both"/>
        <w:rPr>
          <w:rFonts w:ascii="Times New Roman" w:hAnsi="Times New Roman" w:cs="Times New Roman"/>
          <w:sz w:val="28"/>
          <w:szCs w:val="28"/>
        </w:rPr>
      </w:pPr>
      <w:r>
        <w:rPr>
          <w:rFonts w:ascii="Times New Roman" w:hAnsi="Times New Roman" w:cs="Times New Roman"/>
          <w:sz w:val="28"/>
          <w:szCs w:val="28"/>
        </w:rPr>
        <w:t xml:space="preserve">As of Quarter 1, 2015 Vietnam has reached to 70 million persons aged 15 and above, of which 53.6 million people joined into the labour force. Even the fact that the urbanization process has been going on, the rural labour force is continuously considered as dominant, currently accounting for 68.4% of total labour force.  </w:t>
      </w:r>
    </w:p>
    <w:p w:rsidR="004451CB" w:rsidRDefault="000019EE">
      <w:pPr>
        <w:widowControl w:val="0"/>
        <w:numPr>
          <w:ilvl w:val="0"/>
          <w:numId w:val="1"/>
        </w:numPr>
        <w:tabs>
          <w:tab w:val="clear" w:pos="720"/>
          <w:tab w:val="num" w:pos="361"/>
        </w:tabs>
        <w:overflowPunct w:val="0"/>
        <w:autoSpaceDE w:val="0"/>
        <w:autoSpaceDN w:val="0"/>
        <w:adjustRightInd w:val="0"/>
        <w:spacing w:before="120" w:after="0" w:line="293" w:lineRule="auto"/>
        <w:ind w:left="360" w:right="20" w:hanging="358"/>
        <w:jc w:val="both"/>
        <w:rPr>
          <w:rFonts w:ascii="Times New Roman" w:hAnsi="Times New Roman" w:cs="Times New Roman"/>
          <w:sz w:val="28"/>
          <w:szCs w:val="28"/>
        </w:rPr>
      </w:pPr>
      <w:r>
        <w:rPr>
          <w:rFonts w:ascii="Times New Roman" w:hAnsi="Times New Roman" w:cs="Times New Roman"/>
          <w:sz w:val="28"/>
          <w:szCs w:val="28"/>
        </w:rPr>
        <w:t xml:space="preserve">The labour force participation rate stood at 77.3%. The considerable difference on labour force participation between rural and urban areas has remained, standing at 10 percentage points (70.9% against with 80.7%). Besides, the sex gap on labour force participation has also been found. This participation rate of females was 72.4%, with 10.2 percentage points lower than that of males (82.6%). </w:t>
      </w:r>
    </w:p>
    <w:p w:rsidR="004451CB" w:rsidRDefault="000019EE">
      <w:pPr>
        <w:widowControl w:val="0"/>
        <w:numPr>
          <w:ilvl w:val="0"/>
          <w:numId w:val="1"/>
        </w:numPr>
        <w:tabs>
          <w:tab w:val="clear" w:pos="720"/>
          <w:tab w:val="num" w:pos="360"/>
        </w:tabs>
        <w:overflowPunct w:val="0"/>
        <w:autoSpaceDE w:val="0"/>
        <w:autoSpaceDN w:val="0"/>
        <w:adjustRightInd w:val="0"/>
        <w:spacing w:before="120" w:after="0" w:line="318" w:lineRule="auto"/>
        <w:ind w:left="360" w:hanging="358"/>
        <w:jc w:val="both"/>
        <w:rPr>
          <w:rFonts w:ascii="Times New Roman" w:hAnsi="Times New Roman" w:cs="Times New Roman"/>
          <w:sz w:val="28"/>
          <w:szCs w:val="28"/>
        </w:rPr>
      </w:pPr>
      <w:r>
        <w:rPr>
          <w:rFonts w:ascii="Times New Roman" w:hAnsi="Times New Roman" w:cs="Times New Roman"/>
          <w:sz w:val="28"/>
          <w:szCs w:val="28"/>
        </w:rPr>
        <w:t xml:space="preserve">As of Quarter 1, 2015 the labour force of whole country was constituted by 52.4 million employed labourers and more than 1.2 million unemployed labourers. </w:t>
      </w:r>
    </w:p>
    <w:p w:rsidR="004451CB" w:rsidRDefault="000019EE">
      <w:pPr>
        <w:widowControl w:val="0"/>
        <w:numPr>
          <w:ilvl w:val="0"/>
          <w:numId w:val="1"/>
        </w:numPr>
        <w:tabs>
          <w:tab w:val="clear" w:pos="720"/>
          <w:tab w:val="num" w:pos="360"/>
        </w:tabs>
        <w:overflowPunct w:val="0"/>
        <w:autoSpaceDE w:val="0"/>
        <w:autoSpaceDN w:val="0"/>
        <w:adjustRightInd w:val="0"/>
        <w:spacing w:before="120" w:after="0" w:line="302" w:lineRule="auto"/>
        <w:ind w:left="360" w:right="20" w:hanging="358"/>
        <w:jc w:val="both"/>
        <w:rPr>
          <w:rFonts w:ascii="Times New Roman" w:hAnsi="Times New Roman" w:cs="Times New Roman"/>
          <w:sz w:val="28"/>
          <w:szCs w:val="28"/>
        </w:rPr>
      </w:pPr>
      <w:r>
        <w:rPr>
          <w:rFonts w:ascii="Times New Roman" w:hAnsi="Times New Roman" w:cs="Times New Roman"/>
          <w:sz w:val="28"/>
          <w:szCs w:val="28"/>
        </w:rPr>
        <w:t xml:space="preserve">The employment to population ratio of those people aged 15 and above was 75.6%. There was a considerable gap on this ratio between urban and rural. The employment to population ratio in urban areas reached to 68.6%, with 10.7 percentage points lower than that of rural areas. </w:t>
      </w:r>
    </w:p>
    <w:p w:rsidR="004451CB" w:rsidRDefault="000019EE">
      <w:pPr>
        <w:widowControl w:val="0"/>
        <w:numPr>
          <w:ilvl w:val="0"/>
          <w:numId w:val="1"/>
        </w:numPr>
        <w:tabs>
          <w:tab w:val="clear" w:pos="720"/>
          <w:tab w:val="num" w:pos="361"/>
        </w:tabs>
        <w:overflowPunct w:val="0"/>
        <w:autoSpaceDE w:val="0"/>
        <w:autoSpaceDN w:val="0"/>
        <w:adjustRightInd w:val="0"/>
        <w:spacing w:before="120" w:after="0" w:line="318" w:lineRule="auto"/>
        <w:ind w:left="360" w:right="20" w:hanging="358"/>
        <w:jc w:val="both"/>
        <w:rPr>
          <w:rFonts w:ascii="Times New Roman" w:hAnsi="Times New Roman" w:cs="Times New Roman"/>
          <w:sz w:val="28"/>
          <w:szCs w:val="28"/>
        </w:rPr>
      </w:pPr>
      <w:r>
        <w:rPr>
          <w:rFonts w:ascii="Times New Roman" w:hAnsi="Times New Roman" w:cs="Times New Roman"/>
          <w:sz w:val="28"/>
          <w:szCs w:val="28"/>
        </w:rPr>
        <w:t xml:space="preserve">Based on number of working hours, at the whole country, there were 1.2 million underemployed labourers. The underemployed population was added about 21.9 thousand labourers, as compared to that of Quarter 4 in 2014.  84.7% of total underemployed population was currently residing in rural areas.  </w:t>
      </w:r>
    </w:p>
    <w:p w:rsidR="004451CB" w:rsidRDefault="000019EE">
      <w:pPr>
        <w:widowControl w:val="0"/>
        <w:numPr>
          <w:ilvl w:val="0"/>
          <w:numId w:val="1"/>
        </w:numPr>
        <w:tabs>
          <w:tab w:val="clear" w:pos="720"/>
          <w:tab w:val="num" w:pos="360"/>
        </w:tabs>
        <w:overflowPunct w:val="0"/>
        <w:autoSpaceDE w:val="0"/>
        <w:autoSpaceDN w:val="0"/>
        <w:adjustRightInd w:val="0"/>
        <w:spacing w:before="120" w:after="0" w:line="302" w:lineRule="auto"/>
        <w:ind w:left="360" w:right="20" w:hanging="358"/>
        <w:jc w:val="both"/>
        <w:rPr>
          <w:rFonts w:ascii="Times New Roman" w:hAnsi="Times New Roman" w:cs="Times New Roman"/>
          <w:sz w:val="28"/>
          <w:szCs w:val="28"/>
        </w:rPr>
      </w:pPr>
      <w:r>
        <w:rPr>
          <w:rFonts w:ascii="Times New Roman" w:hAnsi="Times New Roman" w:cs="Times New Roman"/>
          <w:sz w:val="28"/>
          <w:szCs w:val="28"/>
        </w:rPr>
        <w:t xml:space="preserve">In Quarter 1, 2015, the general unemployment rate has increased slightly (standing at 2.27%). The unemployed population was supplemented to 162.2 thousand labourers, as compared to that of the same period of 2014, currently reaching to 1214.9 thousand labourers. </w:t>
      </w:r>
    </w:p>
    <w:p w:rsidR="004451CB" w:rsidRDefault="000019EE">
      <w:pPr>
        <w:widowControl w:val="0"/>
        <w:numPr>
          <w:ilvl w:val="0"/>
          <w:numId w:val="1"/>
        </w:numPr>
        <w:tabs>
          <w:tab w:val="clear" w:pos="720"/>
          <w:tab w:val="num" w:pos="360"/>
        </w:tabs>
        <w:overflowPunct w:val="0"/>
        <w:autoSpaceDE w:val="0"/>
        <w:autoSpaceDN w:val="0"/>
        <w:adjustRightInd w:val="0"/>
        <w:spacing w:before="120" w:after="0" w:line="294" w:lineRule="auto"/>
        <w:ind w:left="360" w:hanging="358"/>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The young unemployment rate (for those people aged from 15 to 24) was 6.60%. Number of unemployed youth accounted for 48.2% of total unemployed population. Of which, the urban share was found lower than that of rural areas (44.9% verse 55.1%). Meanwhile, the underemployed youth just accounted for one fourth of total underemployed population. </w:t>
      </w:r>
    </w:p>
    <w:p w:rsidR="004451CB" w:rsidRDefault="004451CB">
      <w:pPr>
        <w:widowControl w:val="0"/>
        <w:autoSpaceDE w:val="0"/>
        <w:autoSpaceDN w:val="0"/>
        <w:adjustRightInd w:val="0"/>
        <w:spacing w:after="0" w:line="240" w:lineRule="auto"/>
        <w:rPr>
          <w:rFonts w:ascii="Times New Roman" w:hAnsi="Times New Roman" w:cs="Times New Roman"/>
          <w:sz w:val="28"/>
          <w:szCs w:val="28"/>
        </w:rPr>
        <w:sectPr w:rsidR="004451CB">
          <w:pgSz w:w="11904" w:h="16840"/>
          <w:pgMar w:top="1393" w:right="1400" w:bottom="514" w:left="1700" w:header="720" w:footer="720" w:gutter="0"/>
          <w:cols w:space="720" w:equalWidth="0">
            <w:col w:w="8800"/>
          </w:cols>
          <w:noEndnote/>
        </w:sectPr>
      </w:pPr>
    </w:p>
    <w:p w:rsidR="004451CB" w:rsidRDefault="000019EE">
      <w:pPr>
        <w:widowControl w:val="0"/>
        <w:autoSpaceDE w:val="0"/>
        <w:autoSpaceDN w:val="0"/>
        <w:adjustRightInd w:val="0"/>
        <w:spacing w:after="0" w:line="240" w:lineRule="auto"/>
        <w:ind w:left="1180"/>
        <w:jc w:val="center"/>
        <w:rPr>
          <w:rFonts w:ascii="Times New Roman" w:hAnsi="Times New Roman" w:cs="Times New Roman"/>
          <w:b/>
          <w:bCs/>
          <w:sz w:val="26"/>
          <w:szCs w:val="26"/>
        </w:rPr>
      </w:pPr>
      <w:bookmarkStart w:id="5" w:name="page15"/>
      <w:bookmarkEnd w:id="5"/>
      <w:r>
        <w:rPr>
          <w:rFonts w:ascii="Times New Roman" w:hAnsi="Times New Roman" w:cs="Times New Roman"/>
          <w:b/>
          <w:bCs/>
          <w:sz w:val="26"/>
          <w:szCs w:val="26"/>
        </w:rPr>
        <w:lastRenderedPageBreak/>
        <w:t>Some key indicators of the labor market</w:t>
      </w:r>
    </w:p>
    <w:p w:rsidR="004451CB" w:rsidRDefault="004451CB">
      <w:pPr>
        <w:widowControl w:val="0"/>
        <w:autoSpaceDE w:val="0"/>
        <w:autoSpaceDN w:val="0"/>
        <w:adjustRightInd w:val="0"/>
        <w:spacing w:after="0" w:line="240" w:lineRule="auto"/>
        <w:ind w:left="1180"/>
        <w:rPr>
          <w:rFonts w:ascii="Times New Roman" w:hAnsi="Times New Roman" w:cs="Times New Roman"/>
          <w:b/>
          <w:bCs/>
          <w:sz w:val="26"/>
          <w:szCs w:val="26"/>
        </w:rPr>
      </w:pPr>
    </w:p>
    <w:tbl>
      <w:tblPr>
        <w:tblW w:w="5059" w:type="pct"/>
        <w:jc w:val="center"/>
        <w:tblLook w:val="04A0" w:firstRow="1" w:lastRow="0" w:firstColumn="1" w:lastColumn="0" w:noHBand="0" w:noVBand="1"/>
      </w:tblPr>
      <w:tblGrid>
        <w:gridCol w:w="4258"/>
        <w:gridCol w:w="134"/>
        <w:gridCol w:w="586"/>
        <w:gridCol w:w="470"/>
        <w:gridCol w:w="241"/>
        <w:gridCol w:w="1041"/>
        <w:gridCol w:w="153"/>
        <w:gridCol w:w="1188"/>
        <w:gridCol w:w="7"/>
        <w:gridCol w:w="1141"/>
        <w:gridCol w:w="106"/>
      </w:tblGrid>
      <w:tr w:rsidR="004451CB" w:rsidTr="00D954D5">
        <w:trPr>
          <w:trHeight w:val="300"/>
          <w:jc w:val="center"/>
        </w:trPr>
        <w:tc>
          <w:tcPr>
            <w:tcW w:w="2283" w:type="pct"/>
            <w:vMerge w:val="restart"/>
            <w:tcBorders>
              <w:top w:val="single" w:sz="4" w:space="0" w:color="auto"/>
              <w:left w:val="single" w:sz="4" w:space="0" w:color="auto"/>
              <w:bottom w:val="single" w:sz="4" w:space="0" w:color="000000"/>
              <w:right w:val="nil"/>
            </w:tcBorders>
            <w:shd w:val="clear" w:color="auto" w:fill="auto"/>
            <w:noWrap/>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Indicator</w:t>
            </w:r>
          </w:p>
        </w:tc>
        <w:tc>
          <w:tcPr>
            <w:tcW w:w="638" w:type="pct"/>
            <w:gridSpan w:val="3"/>
            <w:tcBorders>
              <w:top w:val="single" w:sz="4" w:space="0" w:color="auto"/>
              <w:left w:val="single" w:sz="4" w:space="0" w:color="auto"/>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2,</w:t>
            </w:r>
          </w:p>
        </w:tc>
        <w:tc>
          <w:tcPr>
            <w:tcW w:w="687" w:type="pct"/>
            <w:gridSpan w:val="2"/>
            <w:tcBorders>
              <w:top w:val="single" w:sz="4" w:space="0" w:color="auto"/>
              <w:left w:val="nil"/>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3,</w:t>
            </w:r>
          </w:p>
        </w:tc>
        <w:tc>
          <w:tcPr>
            <w:tcW w:w="723" w:type="pct"/>
            <w:gridSpan w:val="3"/>
            <w:tcBorders>
              <w:top w:val="single" w:sz="4" w:space="0" w:color="auto"/>
              <w:left w:val="nil"/>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4,</w:t>
            </w:r>
          </w:p>
        </w:tc>
        <w:tc>
          <w:tcPr>
            <w:tcW w:w="669" w:type="pct"/>
            <w:gridSpan w:val="2"/>
            <w:tcBorders>
              <w:top w:val="single" w:sz="4" w:space="0" w:color="auto"/>
              <w:left w:val="nil"/>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1,</w:t>
            </w:r>
          </w:p>
        </w:tc>
      </w:tr>
      <w:tr w:rsidR="004451CB" w:rsidTr="00D954D5">
        <w:trPr>
          <w:trHeight w:val="300"/>
          <w:jc w:val="center"/>
        </w:trPr>
        <w:tc>
          <w:tcPr>
            <w:tcW w:w="2283" w:type="pct"/>
            <w:vMerge/>
            <w:tcBorders>
              <w:top w:val="single" w:sz="4" w:space="0" w:color="auto"/>
              <w:left w:val="single" w:sz="4" w:space="0" w:color="auto"/>
              <w:bottom w:val="single" w:sz="4" w:space="0" w:color="000000"/>
              <w:right w:val="nil"/>
            </w:tcBorders>
            <w:vAlign w:val="center"/>
            <w:hideMark/>
          </w:tcPr>
          <w:p w:rsidR="004451CB" w:rsidRDefault="004451CB">
            <w:pPr>
              <w:spacing w:after="0" w:line="240" w:lineRule="auto"/>
              <w:rPr>
                <w:rFonts w:ascii="Times New Roman" w:eastAsia="Times New Roman" w:hAnsi="Times New Roman" w:cs="Times New Roman"/>
                <w:b/>
                <w:bCs/>
                <w:color w:val="000000"/>
                <w:sz w:val="20"/>
                <w:szCs w:val="20"/>
              </w:rPr>
            </w:pPr>
          </w:p>
        </w:tc>
        <w:tc>
          <w:tcPr>
            <w:tcW w:w="638" w:type="pct"/>
            <w:gridSpan w:val="3"/>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2014</w:t>
            </w:r>
          </w:p>
        </w:tc>
        <w:tc>
          <w:tcPr>
            <w:tcW w:w="687" w:type="pct"/>
            <w:gridSpan w:val="2"/>
            <w:tcBorders>
              <w:top w:val="nil"/>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2014</w:t>
            </w:r>
          </w:p>
        </w:tc>
        <w:tc>
          <w:tcPr>
            <w:tcW w:w="723" w:type="pct"/>
            <w:gridSpan w:val="3"/>
            <w:tcBorders>
              <w:top w:val="nil"/>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2014</w:t>
            </w:r>
          </w:p>
        </w:tc>
        <w:tc>
          <w:tcPr>
            <w:tcW w:w="669" w:type="pct"/>
            <w:gridSpan w:val="2"/>
            <w:tcBorders>
              <w:top w:val="nil"/>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2015</w:t>
            </w:r>
          </w:p>
        </w:tc>
      </w:tr>
      <w:tr w:rsidR="004451CB" w:rsidTr="00D954D5">
        <w:trPr>
          <w:trHeight w:hRule="exact" w:val="144"/>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b/>
                <w:bCs/>
                <w:color w:val="000000"/>
                <w:sz w:val="21"/>
                <w:szCs w:val="21"/>
              </w:rPr>
            </w:pPr>
          </w:p>
        </w:tc>
        <w:tc>
          <w:tcPr>
            <w:tcW w:w="638" w:type="pct"/>
            <w:gridSpan w:val="3"/>
            <w:tcBorders>
              <w:top w:val="nil"/>
              <w:left w:val="nil"/>
              <w:bottom w:val="nil"/>
              <w:right w:val="nil"/>
            </w:tcBorders>
            <w:shd w:val="clear" w:color="auto" w:fill="auto"/>
            <w:noWrap/>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1"/>
                <w:szCs w:val="21"/>
              </w:rPr>
            </w:pPr>
          </w:p>
        </w:tc>
        <w:tc>
          <w:tcPr>
            <w:tcW w:w="687" w:type="pct"/>
            <w:gridSpan w:val="2"/>
            <w:tcBorders>
              <w:top w:val="nil"/>
              <w:left w:val="nil"/>
              <w:bottom w:val="nil"/>
              <w:right w:val="nil"/>
            </w:tcBorders>
            <w:shd w:val="clear" w:color="auto" w:fill="auto"/>
            <w:noWrap/>
            <w:tcMar>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1"/>
                <w:szCs w:val="21"/>
              </w:rPr>
            </w:pPr>
          </w:p>
        </w:tc>
        <w:tc>
          <w:tcPr>
            <w:tcW w:w="723" w:type="pct"/>
            <w:gridSpan w:val="3"/>
            <w:tcBorders>
              <w:top w:val="nil"/>
              <w:left w:val="nil"/>
              <w:bottom w:val="nil"/>
              <w:right w:val="nil"/>
            </w:tcBorders>
            <w:shd w:val="clear" w:color="auto" w:fill="auto"/>
            <w:noWrap/>
            <w:tcMar>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1"/>
                <w:szCs w:val="21"/>
              </w:rPr>
            </w:pPr>
          </w:p>
        </w:tc>
        <w:tc>
          <w:tcPr>
            <w:tcW w:w="669" w:type="pct"/>
            <w:gridSpan w:val="2"/>
            <w:tcBorders>
              <w:top w:val="nil"/>
              <w:left w:val="nil"/>
              <w:bottom w:val="nil"/>
              <w:right w:val="single" w:sz="4" w:space="0" w:color="auto"/>
            </w:tcBorders>
            <w:shd w:val="clear" w:color="auto" w:fill="auto"/>
            <w:tcMar>
              <w:right w:w="144" w:type="dxa"/>
            </w:tcMar>
            <w:vAlign w:val="center"/>
            <w:hideMark/>
          </w:tcPr>
          <w:p w:rsidR="004451CB" w:rsidRDefault="004451CB">
            <w:pPr>
              <w:jc w:val="right"/>
              <w:rPr>
                <w:rFonts w:ascii="Times New Roman" w:hAnsi="Times New Roman" w:cs="Times New Roman"/>
                <w:b/>
                <w:bCs/>
                <w:color w:val="00000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 Population aged 15</w:t>
            </w:r>
            <w:r>
              <w:rPr>
                <w:rFonts w:ascii="Times New Roman" w:eastAsia="Times New Roman" w:hAnsi="Times New Roman" w:cs="Times New Roman"/>
                <w:b/>
                <w:bCs/>
                <w:color w:val="000000"/>
                <w:sz w:val="21"/>
                <w:szCs w:val="21"/>
                <w:vertAlign w:val="superscript"/>
              </w:rPr>
              <w:t>+</w:t>
            </w:r>
            <w:r>
              <w:rPr>
                <w:rFonts w:ascii="Times New Roman" w:eastAsia="Times New Roman" w:hAnsi="Times New Roman" w:cs="Times New Roman"/>
                <w:b/>
                <w:bCs/>
                <w:color w:val="000000"/>
                <w:sz w:val="21"/>
                <w:szCs w:val="21"/>
              </w:rPr>
              <w:t xml:space="preserve"> (‘000 persons)</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69313,3</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69 691,5</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70 057,9</w:t>
            </w: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69 750,2</w:t>
            </w: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33695,9</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33 974,4</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34 022,3</w:t>
            </w:r>
          </w:p>
        </w:tc>
        <w:tc>
          <w:tcPr>
            <w:tcW w:w="669"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33 928,5</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35617,4</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35 717,1</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36 035,6</w:t>
            </w:r>
          </w:p>
        </w:tc>
        <w:tc>
          <w:tcPr>
            <w:tcW w:w="669"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35 821,7</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22911,6</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23 149,6</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23 250,2</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23 957,0</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46401,7</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46 541,9</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46 807,6</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45 793,2</w:t>
            </w:r>
          </w:p>
        </w:tc>
      </w:tr>
      <w:tr w:rsidR="004451CB" w:rsidTr="00D954D5">
        <w:trPr>
          <w:trHeight w:hRule="exact" w:val="170"/>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b/>
                <w:bCs/>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2. Labour force (‘000 persons)</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53714,5</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54 307,2</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54 426,5</w:t>
            </w: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53 643,9</w:t>
            </w: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27584,8</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28 042,5</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27 968,9</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27 819,3</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26129,8</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26 264,7</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26 457,5</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25 824,6</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16030,2</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16 296,3</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16 357,2</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16 941,2</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37684,4</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38 010,9</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38 069,3</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36 702,7</w:t>
            </w:r>
          </w:p>
        </w:tc>
      </w:tr>
      <w:tr w:rsidR="004451CB" w:rsidTr="00D954D5">
        <w:trPr>
          <w:trHeight w:hRule="exact" w:val="170"/>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b/>
                <w:bCs/>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69" w:type="pct"/>
            <w:gridSpan w:val="2"/>
            <w:tcBorders>
              <w:top w:val="nil"/>
              <w:left w:val="nil"/>
              <w:bottom w:val="nil"/>
              <w:right w:val="single" w:sz="4" w:space="0" w:color="000000"/>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3. Labour force participation rate (%)</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77,5</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77,9</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78,0</w:t>
            </w:r>
          </w:p>
        </w:tc>
        <w:tc>
          <w:tcPr>
            <w:tcW w:w="669" w:type="pct"/>
            <w:gridSpan w:val="2"/>
            <w:tcBorders>
              <w:top w:val="nil"/>
              <w:left w:val="nil"/>
              <w:bottom w:val="nil"/>
              <w:right w:val="single" w:sz="4" w:space="0" w:color="000000"/>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77,3</w:t>
            </w: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69" w:type="pct"/>
            <w:gridSpan w:val="2"/>
            <w:tcBorders>
              <w:top w:val="nil"/>
              <w:left w:val="nil"/>
              <w:bottom w:val="nil"/>
              <w:right w:val="single" w:sz="4" w:space="0" w:color="000000"/>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81,9</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82,5</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82,6</w:t>
            </w:r>
          </w:p>
        </w:tc>
        <w:tc>
          <w:tcPr>
            <w:tcW w:w="669" w:type="pct"/>
            <w:gridSpan w:val="2"/>
            <w:tcBorders>
              <w:top w:val="nil"/>
              <w:left w:val="nil"/>
              <w:bottom w:val="nil"/>
              <w:right w:val="single" w:sz="4" w:space="0" w:color="000000"/>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82,6</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73,4</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73,5</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73,6</w:t>
            </w:r>
          </w:p>
        </w:tc>
        <w:tc>
          <w:tcPr>
            <w:tcW w:w="669" w:type="pct"/>
            <w:gridSpan w:val="2"/>
            <w:tcBorders>
              <w:top w:val="nil"/>
              <w:left w:val="nil"/>
              <w:bottom w:val="nil"/>
              <w:right w:val="single" w:sz="4" w:space="0" w:color="000000"/>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72,4</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70,4</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70,5</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70,9</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81,2</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81,7</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81,7</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80,7</w:t>
            </w:r>
          </w:p>
        </w:tc>
      </w:tr>
      <w:tr w:rsidR="004451CB" w:rsidTr="00D954D5">
        <w:trPr>
          <w:trHeight w:hRule="exact" w:val="170"/>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b/>
                <w:bCs/>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4. Employed population (‘000 persons)</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52838,4</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53258,4</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53440 ,2</w:t>
            </w: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52 427,0</w:t>
            </w: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27104,6</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27 464,0</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27461 ,8</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27 174,2</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25733,8</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25 794,4</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25978 ,4</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25 252,9</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15548,9</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15805,9</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15877 ,6</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16 387,9</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37289,5</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37452,5</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37562 ,5</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36 039,2</w:t>
            </w:r>
          </w:p>
        </w:tc>
      </w:tr>
      <w:tr w:rsidR="004451CB" w:rsidTr="00D954D5">
        <w:trPr>
          <w:trHeight w:hRule="exact" w:val="170"/>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4451CB">
            <w:pPr>
              <w:spacing w:after="0" w:line="240" w:lineRule="auto"/>
              <w:contextualSpacing/>
              <w:rPr>
                <w:rFonts w:ascii="Times New Roman" w:eastAsia="Times New Roman" w:hAnsi="Times New Roman" w:cs="Times New Roman"/>
                <w:b/>
                <w:bCs/>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69"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5. Employment to population ratio (%)</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76,2</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76,4</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76,5</w:t>
            </w: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75,6</w:t>
            </w: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jc w:val="right"/>
              <w:rPr>
                <w:rFonts w:ascii="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80,4</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80,8</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jc w:val="right"/>
              <w:rPr>
                <w:rFonts w:ascii="Times New Roman" w:hAnsi="Times New Roman" w:cs="Times New Roman"/>
                <w:color w:val="000000"/>
                <w:sz w:val="20"/>
                <w:szCs w:val="20"/>
              </w:rPr>
            </w:pPr>
            <w:r>
              <w:rPr>
                <w:rFonts w:ascii="Times New Roman" w:hAnsi="Times New Roman" w:cs="Times New Roman"/>
                <w:color w:val="000000"/>
                <w:sz w:val="20"/>
                <w:szCs w:val="20"/>
              </w:rPr>
              <w:t>81,1</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80,7</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72,3</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72,2</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jc w:val="right"/>
              <w:rPr>
                <w:rFonts w:ascii="Times New Roman" w:hAnsi="Times New Roman" w:cs="Times New Roman"/>
                <w:color w:val="000000"/>
                <w:sz w:val="20"/>
                <w:szCs w:val="20"/>
              </w:rPr>
            </w:pPr>
            <w:r>
              <w:rPr>
                <w:rFonts w:ascii="Times New Roman" w:hAnsi="Times New Roman" w:cs="Times New Roman"/>
                <w:color w:val="000000"/>
                <w:sz w:val="20"/>
                <w:szCs w:val="20"/>
              </w:rPr>
              <w:t>72,2</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70,8</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67,9</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68,3</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jc w:val="right"/>
              <w:rPr>
                <w:rFonts w:ascii="Times New Roman" w:hAnsi="Times New Roman" w:cs="Times New Roman"/>
                <w:color w:val="000000"/>
                <w:sz w:val="20"/>
                <w:szCs w:val="20"/>
              </w:rPr>
            </w:pPr>
            <w:r>
              <w:rPr>
                <w:rFonts w:ascii="Times New Roman" w:hAnsi="Times New Roman" w:cs="Times New Roman"/>
                <w:color w:val="000000"/>
                <w:sz w:val="20"/>
                <w:szCs w:val="20"/>
              </w:rPr>
              <w:t>68,4</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68,6</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80,4</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80,5</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jc w:val="right"/>
              <w:rPr>
                <w:rFonts w:ascii="Times New Roman" w:hAnsi="Times New Roman" w:cs="Times New Roman"/>
                <w:color w:val="000000"/>
                <w:sz w:val="20"/>
                <w:szCs w:val="20"/>
              </w:rPr>
            </w:pPr>
            <w:r>
              <w:rPr>
                <w:rFonts w:ascii="Times New Roman" w:hAnsi="Times New Roman" w:cs="Times New Roman"/>
                <w:color w:val="000000"/>
                <w:sz w:val="20"/>
                <w:szCs w:val="20"/>
              </w:rPr>
              <w:t>80,6</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79,2</w:t>
            </w:r>
          </w:p>
        </w:tc>
      </w:tr>
      <w:tr w:rsidR="004451CB" w:rsidTr="00D954D5">
        <w:trPr>
          <w:trHeight w:hRule="exact" w:val="170"/>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b/>
                <w:bCs/>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contextualSpacing/>
              <w:jc w:val="right"/>
              <w:rPr>
                <w:rFonts w:ascii="Times New Roman" w:hAnsi="Times New Roman" w:cs="Times New Roman"/>
                <w:b/>
                <w:bCs/>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contextualSpacing/>
              <w:jc w:val="right"/>
              <w:rPr>
                <w:rFonts w:ascii="Times New Roman" w:hAnsi="Times New Roman" w:cs="Times New Roman"/>
                <w:b/>
                <w:bCs/>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contextualSpacing/>
              <w:jc w:val="right"/>
              <w:rPr>
                <w:rFonts w:ascii="Times New Roman" w:hAnsi="Times New Roman" w:cs="Times New Roman"/>
                <w:b/>
                <w:bCs/>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6. Average monthly earnings of wage workers (thousand VND)</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contextualSpacing/>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4335</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contextualSpacing/>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4439</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contextualSpacing/>
              <w:jc w:val="right"/>
              <w:rPr>
                <w:rFonts w:ascii="Times New Roman" w:hAnsi="Times New Roman" w:cs="Times New Roman"/>
                <w:b/>
                <w:bCs/>
                <w:sz w:val="20"/>
                <w:szCs w:val="20"/>
              </w:rPr>
            </w:pPr>
            <w:r>
              <w:rPr>
                <w:rFonts w:ascii="Times New Roman" w:hAnsi="Times New Roman" w:cs="Times New Roman"/>
                <w:b/>
                <w:bCs/>
                <w:sz w:val="20"/>
                <w:szCs w:val="20"/>
              </w:rPr>
              <w:t>4397</w:t>
            </w: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4895</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workers (thousand VND)</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b/>
                <w:bCs/>
                <w:color w:val="000000"/>
                <w:sz w:val="20"/>
                <w:szCs w:val="20"/>
              </w:rPr>
            </w:pPr>
          </w:p>
        </w:tc>
        <w:tc>
          <w:tcPr>
            <w:tcW w:w="669" w:type="pct"/>
            <w:gridSpan w:val="2"/>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4509</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4631</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4576</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5034</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4092</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4164</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4144</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4706</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5119</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5179</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5139</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5723</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3700</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3835</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hAnsi="Times New Roman" w:cs="Times New Roman"/>
                <w:color w:val="000000"/>
                <w:sz w:val="20"/>
                <w:szCs w:val="20"/>
              </w:rPr>
              <w:t>3807</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4190</w:t>
            </w:r>
          </w:p>
        </w:tc>
      </w:tr>
      <w:tr w:rsidR="004451CB" w:rsidTr="00D954D5">
        <w:trPr>
          <w:trHeight w:hRule="exact" w:val="170"/>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b/>
                <w:bCs/>
                <w:color w:val="000000"/>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b/>
                <w:bCs/>
                <w:color w:val="000000"/>
                <w:sz w:val="21"/>
                <w:szCs w:val="21"/>
              </w:rPr>
              <w:t>7. Time related underemployed population (‘000 persons)</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b/>
                <w:bCs/>
                <w:color w:val="000000"/>
                <w:sz w:val="21"/>
                <w:szCs w:val="21"/>
              </w:rPr>
              <w:t>population (‘000 persons)</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b/>
                <w:bCs/>
                <w:color w:val="000000"/>
                <w:sz w:val="20"/>
                <w:szCs w:val="20"/>
              </w:rPr>
              <w:t>1140,2</w:t>
            </w: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b/>
                <w:bCs/>
                <w:color w:val="000000"/>
                <w:sz w:val="20"/>
                <w:szCs w:val="20"/>
              </w:rPr>
              <w:t>1161,9</w:t>
            </w: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b/>
                <w:bCs/>
                <w:color w:val="000000"/>
                <w:sz w:val="20"/>
                <w:szCs w:val="20"/>
              </w:rPr>
              <w:t>1185,4</w:t>
            </w: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b/>
                <w:bCs/>
                <w:color w:val="000000"/>
                <w:sz w:val="20"/>
                <w:szCs w:val="20"/>
              </w:rPr>
              <w:t>1 217,3</w:t>
            </w:r>
          </w:p>
        </w:tc>
      </w:tr>
      <w:tr w:rsidR="004451CB" w:rsidTr="00D954D5">
        <w:trPr>
          <w:trHeight w:hRule="exact" w:val="113"/>
          <w:jc w:val="center"/>
        </w:trPr>
        <w:tc>
          <w:tcPr>
            <w:tcW w:w="2283" w:type="pct"/>
            <w:tcBorders>
              <w:top w:val="nil"/>
              <w:left w:val="single" w:sz="4" w:space="0" w:color="auto"/>
              <w:bottom w:val="nil"/>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rPr>
            </w:pP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87" w:type="pct"/>
            <w:gridSpan w:val="2"/>
            <w:tcBorders>
              <w:top w:val="nil"/>
              <w:left w:val="nil"/>
              <w:bottom w:val="nil"/>
              <w:right w:val="nil"/>
            </w:tcBorders>
            <w:shd w:val="clear" w:color="auto" w:fill="auto"/>
            <w:noWrap/>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723" w:type="pct"/>
            <w:gridSpan w:val="3"/>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20"/>
                <w:szCs w:val="20"/>
              </w:rPr>
            </w:pPr>
          </w:p>
        </w:tc>
        <w:tc>
          <w:tcPr>
            <w:tcW w:w="669" w:type="pct"/>
            <w:gridSpan w:val="2"/>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627,3</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631,6</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625,7</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 xml:space="preserve"> 658,4</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513,0</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530,3</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559,6</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558,9</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155,7</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167,2</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185,6</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185,8</w:t>
            </w:r>
          </w:p>
        </w:tc>
      </w:tr>
      <w:tr w:rsidR="004451CB" w:rsidTr="00D954D5">
        <w:trPr>
          <w:trHeight w:hRule="exact" w:val="288"/>
          <w:jc w:val="center"/>
        </w:trPr>
        <w:tc>
          <w:tcPr>
            <w:tcW w:w="2283" w:type="pct"/>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638" w:type="pct"/>
            <w:gridSpan w:val="3"/>
            <w:tcBorders>
              <w:top w:val="nil"/>
              <w:left w:val="nil"/>
              <w:bottom w:val="nil"/>
              <w:right w:val="nil"/>
            </w:tcBorders>
            <w:shd w:val="clear" w:color="auto" w:fill="auto"/>
            <w:noWrap/>
            <w:tcMar>
              <w:left w:w="0"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984,5</w:t>
            </w:r>
          </w:p>
        </w:tc>
        <w:tc>
          <w:tcPr>
            <w:tcW w:w="687" w:type="pct"/>
            <w:gridSpan w:val="2"/>
            <w:tcBorders>
              <w:top w:val="nil"/>
              <w:left w:val="nil"/>
              <w:bottom w:val="nil"/>
              <w:right w:val="nil"/>
            </w:tcBorders>
            <w:shd w:val="clear" w:color="auto" w:fill="auto"/>
            <w:noWrap/>
            <w:tcMar>
              <w:left w:w="432" w:type="dxa"/>
              <w:right w:w="144"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994,7</w:t>
            </w:r>
          </w:p>
        </w:tc>
        <w:tc>
          <w:tcPr>
            <w:tcW w:w="723" w:type="pct"/>
            <w:gridSpan w:val="3"/>
            <w:tcBorders>
              <w:top w:val="nil"/>
              <w:left w:val="nil"/>
              <w:bottom w:val="nil"/>
              <w:right w:val="nil"/>
            </w:tcBorders>
            <w:shd w:val="clear" w:color="auto" w:fill="auto"/>
            <w:noWrap/>
            <w:tcMar>
              <w:left w:w="432" w:type="dxa"/>
              <w:right w:w="216" w:type="dxa"/>
            </w:tcMar>
            <w:vAlign w:val="center"/>
            <w:hideMark/>
          </w:tcPr>
          <w:p w:rsidR="004451CB" w:rsidRDefault="000019EE">
            <w:pPr>
              <w:spacing w:after="0" w:line="240" w:lineRule="auto"/>
              <w:contextualSpacing/>
              <w:jc w:val="right"/>
              <w:rPr>
                <w:rFonts w:ascii="Times New Roman" w:hAnsi="Times New Roman" w:cs="Times New Roman"/>
                <w:color w:val="000000"/>
                <w:sz w:val="20"/>
                <w:szCs w:val="20"/>
              </w:rPr>
            </w:pPr>
            <w:r>
              <w:rPr>
                <w:rFonts w:ascii="Times New Roman" w:eastAsia="Times New Roman" w:hAnsi="Times New Roman" w:cs="Times New Roman"/>
                <w:color w:val="000000"/>
                <w:sz w:val="20"/>
                <w:szCs w:val="20"/>
              </w:rPr>
              <w:t>999,8</w:t>
            </w:r>
          </w:p>
        </w:tc>
        <w:tc>
          <w:tcPr>
            <w:tcW w:w="669" w:type="pct"/>
            <w:gridSpan w:val="2"/>
            <w:tcBorders>
              <w:top w:val="nil"/>
              <w:left w:val="nil"/>
              <w:bottom w:val="nil"/>
              <w:right w:val="single" w:sz="4" w:space="0" w:color="auto"/>
            </w:tcBorders>
            <w:shd w:val="clear" w:color="auto" w:fill="auto"/>
            <w:noWrap/>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1 031,5</w:t>
            </w:r>
          </w:p>
        </w:tc>
      </w:tr>
      <w:tr w:rsidR="004451CB" w:rsidTr="00D954D5">
        <w:trPr>
          <w:trHeight w:hRule="exact" w:val="144"/>
          <w:jc w:val="center"/>
        </w:trPr>
        <w:tc>
          <w:tcPr>
            <w:tcW w:w="2283" w:type="pct"/>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contextualSpacing/>
              <w:rPr>
                <w:rFonts w:ascii="Times New Roman" w:eastAsia="Times New Roman" w:hAnsi="Times New Roman" w:cs="Times New Roman"/>
                <w:color w:val="000000"/>
                <w:sz w:val="21"/>
                <w:szCs w:val="21"/>
              </w:rPr>
            </w:pPr>
          </w:p>
        </w:tc>
        <w:tc>
          <w:tcPr>
            <w:tcW w:w="638" w:type="pct"/>
            <w:gridSpan w:val="3"/>
            <w:tcBorders>
              <w:top w:val="nil"/>
              <w:left w:val="nil"/>
              <w:bottom w:val="single" w:sz="4" w:space="0" w:color="auto"/>
              <w:right w:val="nil"/>
            </w:tcBorders>
            <w:shd w:val="clear" w:color="auto" w:fill="auto"/>
            <w:noWrap/>
            <w:vAlign w:val="center"/>
            <w:hideMark/>
          </w:tcPr>
          <w:p w:rsidR="004451CB" w:rsidRDefault="004451CB">
            <w:pPr>
              <w:spacing w:after="0" w:line="240" w:lineRule="auto"/>
              <w:contextualSpacing/>
              <w:jc w:val="right"/>
              <w:rPr>
                <w:rFonts w:ascii="Times New Roman" w:hAnsi="Times New Roman" w:cs="Times New Roman"/>
                <w:color w:val="000000"/>
                <w:sz w:val="21"/>
                <w:szCs w:val="21"/>
              </w:rPr>
            </w:pPr>
          </w:p>
        </w:tc>
        <w:tc>
          <w:tcPr>
            <w:tcW w:w="687" w:type="pct"/>
            <w:gridSpan w:val="2"/>
            <w:tcBorders>
              <w:top w:val="nil"/>
              <w:left w:val="nil"/>
              <w:bottom w:val="single" w:sz="4" w:space="0" w:color="auto"/>
              <w:right w:val="nil"/>
            </w:tcBorders>
            <w:shd w:val="clear" w:color="auto" w:fill="auto"/>
            <w:noWrap/>
            <w:vAlign w:val="center"/>
            <w:hideMark/>
          </w:tcPr>
          <w:p w:rsidR="004451CB" w:rsidRDefault="004451CB">
            <w:pPr>
              <w:spacing w:after="0" w:line="240" w:lineRule="auto"/>
              <w:contextualSpacing/>
              <w:jc w:val="right"/>
              <w:rPr>
                <w:rFonts w:ascii="Times New Roman" w:hAnsi="Times New Roman" w:cs="Times New Roman"/>
                <w:color w:val="000000"/>
                <w:sz w:val="21"/>
                <w:szCs w:val="21"/>
              </w:rPr>
            </w:pPr>
          </w:p>
        </w:tc>
        <w:tc>
          <w:tcPr>
            <w:tcW w:w="723" w:type="pct"/>
            <w:gridSpan w:val="3"/>
            <w:tcBorders>
              <w:top w:val="nil"/>
              <w:left w:val="nil"/>
              <w:bottom w:val="single" w:sz="4" w:space="0" w:color="auto"/>
              <w:right w:val="nil"/>
            </w:tcBorders>
            <w:shd w:val="clear" w:color="auto" w:fill="auto"/>
            <w:noWrap/>
            <w:tcMar>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1"/>
                <w:szCs w:val="21"/>
              </w:rPr>
            </w:pPr>
          </w:p>
        </w:tc>
        <w:tc>
          <w:tcPr>
            <w:tcW w:w="669" w:type="pct"/>
            <w:gridSpan w:val="2"/>
            <w:tcBorders>
              <w:top w:val="nil"/>
              <w:left w:val="nil"/>
              <w:bottom w:val="single" w:sz="4" w:space="0" w:color="auto"/>
              <w:right w:val="single" w:sz="4" w:space="0" w:color="auto"/>
            </w:tcBorders>
            <w:shd w:val="clear" w:color="auto" w:fill="auto"/>
            <w:noWrap/>
            <w:tcMar>
              <w:right w:w="216" w:type="dxa"/>
            </w:tcMar>
            <w:vAlign w:val="center"/>
            <w:hideMark/>
          </w:tcPr>
          <w:p w:rsidR="004451CB" w:rsidRDefault="004451CB">
            <w:pPr>
              <w:spacing w:after="0" w:line="240" w:lineRule="auto"/>
              <w:contextualSpacing/>
              <w:jc w:val="right"/>
              <w:rPr>
                <w:rFonts w:ascii="Times New Roman" w:hAnsi="Times New Roman" w:cs="Times New Roman"/>
                <w:color w:val="000000"/>
                <w:sz w:val="21"/>
                <w:szCs w:val="21"/>
              </w:rPr>
            </w:pPr>
          </w:p>
        </w:tc>
      </w:tr>
      <w:tr w:rsidR="004451CB" w:rsidTr="00D954D5">
        <w:tblPrEx>
          <w:jc w:val="left"/>
        </w:tblPrEx>
        <w:trPr>
          <w:gridAfter w:val="1"/>
          <w:wAfter w:w="57" w:type="pct"/>
          <w:trHeight w:hRule="exact" w:val="288"/>
        </w:trPr>
        <w:tc>
          <w:tcPr>
            <w:tcW w:w="2355" w:type="pct"/>
            <w:gridSpan w:val="2"/>
            <w:vMerge w:val="restart"/>
            <w:tcBorders>
              <w:top w:val="single" w:sz="4" w:space="0" w:color="auto"/>
              <w:left w:val="single" w:sz="4" w:space="0" w:color="auto"/>
              <w:bottom w:val="single" w:sz="4" w:space="0" w:color="000000"/>
              <w:right w:val="nil"/>
            </w:tcBorders>
            <w:shd w:val="clear" w:color="auto" w:fill="auto"/>
            <w:noWrap/>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lastRenderedPageBreak/>
              <w:t>Indicator</w:t>
            </w:r>
          </w:p>
        </w:tc>
        <w:tc>
          <w:tcPr>
            <w:tcW w:w="695" w:type="pct"/>
            <w:gridSpan w:val="3"/>
            <w:tcBorders>
              <w:top w:val="single" w:sz="4" w:space="0" w:color="auto"/>
              <w:left w:val="single" w:sz="4" w:space="0" w:color="auto"/>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2,</w:t>
            </w:r>
          </w:p>
        </w:tc>
        <w:tc>
          <w:tcPr>
            <w:tcW w:w="640" w:type="pct"/>
            <w:gridSpan w:val="2"/>
            <w:tcBorders>
              <w:top w:val="single" w:sz="4" w:space="0" w:color="auto"/>
              <w:left w:val="nil"/>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3,</w:t>
            </w:r>
          </w:p>
        </w:tc>
        <w:tc>
          <w:tcPr>
            <w:tcW w:w="637" w:type="pct"/>
            <w:tcBorders>
              <w:top w:val="single" w:sz="4" w:space="0" w:color="auto"/>
              <w:left w:val="nil"/>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4,</w:t>
            </w:r>
          </w:p>
        </w:tc>
        <w:tc>
          <w:tcPr>
            <w:tcW w:w="616" w:type="pct"/>
            <w:gridSpan w:val="2"/>
            <w:tcBorders>
              <w:top w:val="single" w:sz="4" w:space="0" w:color="auto"/>
              <w:left w:val="nil"/>
              <w:bottom w:val="nil"/>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Quarter 1,</w:t>
            </w:r>
          </w:p>
        </w:tc>
      </w:tr>
      <w:tr w:rsidR="004451CB" w:rsidTr="00D954D5">
        <w:tblPrEx>
          <w:jc w:val="left"/>
        </w:tblPrEx>
        <w:trPr>
          <w:gridAfter w:val="1"/>
          <w:wAfter w:w="57" w:type="pct"/>
          <w:trHeight w:hRule="exact" w:val="443"/>
        </w:trPr>
        <w:tc>
          <w:tcPr>
            <w:tcW w:w="2355" w:type="pct"/>
            <w:gridSpan w:val="2"/>
            <w:vMerge/>
            <w:tcBorders>
              <w:top w:val="single" w:sz="4" w:space="0" w:color="auto"/>
              <w:left w:val="single" w:sz="4" w:space="0" w:color="auto"/>
              <w:bottom w:val="single" w:sz="4" w:space="0" w:color="000000"/>
              <w:right w:val="nil"/>
            </w:tcBorders>
            <w:vAlign w:val="center"/>
            <w:hideMark/>
          </w:tcPr>
          <w:p w:rsidR="004451CB" w:rsidRDefault="004451CB">
            <w:pPr>
              <w:spacing w:after="0" w:line="240" w:lineRule="auto"/>
              <w:rPr>
                <w:rFonts w:ascii="Times New Roman" w:eastAsia="Times New Roman" w:hAnsi="Times New Roman" w:cs="Times New Roman"/>
                <w:b/>
                <w:bCs/>
                <w:color w:val="000000"/>
                <w:sz w:val="20"/>
                <w:szCs w:val="20"/>
              </w:rPr>
            </w:pPr>
          </w:p>
        </w:tc>
        <w:tc>
          <w:tcPr>
            <w:tcW w:w="695" w:type="pct"/>
            <w:gridSpan w:val="3"/>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2014</w:t>
            </w:r>
          </w:p>
        </w:tc>
        <w:tc>
          <w:tcPr>
            <w:tcW w:w="640" w:type="pct"/>
            <w:gridSpan w:val="2"/>
            <w:tcBorders>
              <w:top w:val="nil"/>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2014</w:t>
            </w:r>
          </w:p>
        </w:tc>
        <w:tc>
          <w:tcPr>
            <w:tcW w:w="637"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2014</w:t>
            </w:r>
          </w:p>
        </w:tc>
        <w:tc>
          <w:tcPr>
            <w:tcW w:w="616" w:type="pct"/>
            <w:gridSpan w:val="2"/>
            <w:tcBorders>
              <w:top w:val="nil"/>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2015</w:t>
            </w:r>
          </w:p>
        </w:tc>
      </w:tr>
      <w:tr w:rsidR="004451CB" w:rsidTr="00D954D5">
        <w:tblPrEx>
          <w:jc w:val="left"/>
        </w:tblPrEx>
        <w:trPr>
          <w:gridAfter w:val="1"/>
          <w:wAfter w:w="57" w:type="pct"/>
          <w:trHeight w:hRule="exact" w:val="170"/>
        </w:trPr>
        <w:tc>
          <w:tcPr>
            <w:tcW w:w="2669" w:type="pct"/>
            <w:gridSpan w:val="3"/>
            <w:tcBorders>
              <w:top w:val="single" w:sz="4" w:space="0" w:color="auto"/>
              <w:left w:val="single" w:sz="4" w:space="0" w:color="auto"/>
              <w:bottom w:val="nil"/>
              <w:right w:val="nil"/>
            </w:tcBorders>
            <w:shd w:val="clear" w:color="auto" w:fill="auto"/>
            <w:noWrap/>
            <w:vAlign w:val="center"/>
            <w:hideMark/>
          </w:tcPr>
          <w:p w:rsidR="004451CB" w:rsidRDefault="004451CB">
            <w:pPr>
              <w:spacing w:after="0" w:line="240" w:lineRule="auto"/>
              <w:rPr>
                <w:rFonts w:ascii="Times New Roman" w:eastAsia="Times New Roman" w:hAnsi="Times New Roman" w:cs="Times New Roman"/>
                <w:b/>
                <w:bCs/>
                <w:color w:val="000000"/>
              </w:rPr>
            </w:pPr>
          </w:p>
        </w:tc>
        <w:tc>
          <w:tcPr>
            <w:tcW w:w="381" w:type="pct"/>
            <w:gridSpan w:val="2"/>
            <w:tcBorders>
              <w:top w:val="single" w:sz="4" w:space="0" w:color="auto"/>
              <w:left w:val="nil"/>
              <w:bottom w:val="nil"/>
              <w:right w:val="nil"/>
            </w:tcBorders>
            <w:shd w:val="clear" w:color="auto" w:fill="auto"/>
            <w:noWrap/>
            <w:tcMar>
              <w:left w:w="0" w:type="dxa"/>
              <w:right w:w="216" w:type="dxa"/>
            </w:tcMar>
            <w:vAlign w:val="center"/>
            <w:hideMark/>
          </w:tcPr>
          <w:p w:rsidR="004451CB" w:rsidRDefault="004451CB">
            <w:pPr>
              <w:spacing w:before="60" w:after="0" w:line="240" w:lineRule="auto"/>
              <w:jc w:val="right"/>
              <w:rPr>
                <w:rFonts w:ascii="Times New Roman"/>
                <w:b/>
                <w:spacing w:val="-1"/>
                <w:sz w:val="20"/>
                <w:szCs w:val="20"/>
              </w:rPr>
            </w:pPr>
          </w:p>
        </w:tc>
        <w:tc>
          <w:tcPr>
            <w:tcW w:w="640" w:type="pct"/>
            <w:gridSpan w:val="2"/>
            <w:tcBorders>
              <w:top w:val="single" w:sz="4" w:space="0" w:color="auto"/>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37" w:type="pct"/>
            <w:tcBorders>
              <w:top w:val="single" w:sz="4" w:space="0" w:color="auto"/>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bCs/>
                <w:sz w:val="20"/>
                <w:szCs w:val="20"/>
              </w:rPr>
            </w:pPr>
          </w:p>
        </w:tc>
        <w:tc>
          <w:tcPr>
            <w:tcW w:w="616" w:type="pct"/>
            <w:gridSpan w:val="2"/>
            <w:tcBorders>
              <w:top w:val="single" w:sz="4" w:space="0" w:color="auto"/>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 xml:space="preserve">8. Time related underemployment rate (%) </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b/>
                <w:spacing w:val="-1"/>
                <w:sz w:val="20"/>
                <w:szCs w:val="20"/>
              </w:rPr>
              <w:t>2,16</w:t>
            </w: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2,18</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2,22</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Calibri" w:hAnsi="Calibri" w:cs="Calibri"/>
                <w:color w:val="000000"/>
                <w:sz w:val="20"/>
                <w:szCs w:val="20"/>
              </w:rPr>
            </w:pPr>
            <w:r>
              <w:rPr>
                <w:rFonts w:ascii="Times New Roman" w:hAnsi="Times New Roman" w:cs="Times New Roman"/>
                <w:b/>
                <w:bCs/>
                <w:color w:val="000000"/>
                <w:sz w:val="20"/>
                <w:szCs w:val="20"/>
              </w:rPr>
              <w:t>2,33</w:t>
            </w:r>
          </w:p>
        </w:tc>
      </w:tr>
      <w:tr w:rsidR="004451CB" w:rsidTr="00D954D5">
        <w:tblPrEx>
          <w:jc w:val="left"/>
        </w:tblPrEx>
        <w:trPr>
          <w:gridAfter w:val="1"/>
          <w:wAfter w:w="57" w:type="pct"/>
          <w:trHeight w:hRule="exact" w:val="136"/>
        </w:trPr>
        <w:tc>
          <w:tcPr>
            <w:tcW w:w="2669" w:type="pct"/>
            <w:gridSpan w:val="3"/>
            <w:tcBorders>
              <w:top w:val="nil"/>
              <w:left w:val="single" w:sz="4" w:space="0" w:color="auto"/>
              <w:bottom w:val="nil"/>
              <w:right w:val="nil"/>
            </w:tcBorders>
            <w:shd w:val="clear" w:color="auto" w:fill="auto"/>
            <w:noWrap/>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2,31</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2,3</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sz w:val="20"/>
                <w:szCs w:val="20"/>
              </w:rPr>
              <w:t>2,28</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Calibri" w:hAnsi="Calibri" w:cs="Calibri"/>
                <w:color w:val="000000"/>
                <w:sz w:val="20"/>
                <w:szCs w:val="20"/>
              </w:rPr>
            </w:pPr>
            <w:r>
              <w:rPr>
                <w:rFonts w:ascii="Times New Roman" w:hAnsi="Times New Roman" w:cs="Times New Roman"/>
                <w:color w:val="000000"/>
                <w:sz w:val="20"/>
                <w:szCs w:val="20"/>
              </w:rPr>
              <w:t>2,43</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1,99</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2,06</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sz w:val="20"/>
                <w:szCs w:val="20"/>
              </w:rPr>
              <w:t>2,15</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Calibri" w:hAnsi="Calibri" w:cs="Calibri"/>
                <w:color w:val="000000"/>
                <w:sz w:val="20"/>
                <w:szCs w:val="20"/>
              </w:rPr>
            </w:pPr>
            <w:r>
              <w:rPr>
                <w:rFonts w:ascii="Times New Roman" w:hAnsi="Times New Roman" w:cs="Times New Roman"/>
                <w:color w:val="000000"/>
                <w:sz w:val="20"/>
                <w:szCs w:val="20"/>
              </w:rPr>
              <w:t>2,22</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1,00</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1,06</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sz w:val="20"/>
                <w:szCs w:val="20"/>
              </w:rPr>
              <w:t>1,17</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Calibri" w:hAnsi="Calibri" w:cs="Calibri"/>
                <w:color w:val="000000"/>
                <w:sz w:val="20"/>
                <w:szCs w:val="20"/>
              </w:rPr>
            </w:pPr>
            <w:r>
              <w:rPr>
                <w:rFonts w:ascii="Times New Roman" w:hAnsi="Times New Roman" w:cs="Times New Roman"/>
                <w:color w:val="000000"/>
                <w:sz w:val="20"/>
                <w:szCs w:val="20"/>
              </w:rPr>
              <w:t>1,14</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2,64</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color w:val="000000"/>
                <w:sz w:val="20"/>
                <w:szCs w:val="20"/>
              </w:rPr>
              <w:t>2,66</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sz w:val="20"/>
                <w:szCs w:val="20"/>
              </w:rPr>
              <w:t>2,66</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Calibri" w:hAnsi="Calibri" w:cs="Calibri"/>
                <w:color w:val="000000"/>
                <w:sz w:val="20"/>
                <w:szCs w:val="20"/>
              </w:rPr>
            </w:pPr>
            <w:r>
              <w:rPr>
                <w:rFonts w:ascii="Times New Roman" w:hAnsi="Times New Roman" w:cs="Times New Roman"/>
                <w:color w:val="000000"/>
                <w:sz w:val="20"/>
                <w:szCs w:val="20"/>
              </w:rPr>
              <w:t>2,87</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 xml:space="preserve">9. Time related underemployment rate </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b/>
                <w:bCs/>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Calibri" w:hAnsi="Calibri" w:cs="Calibri"/>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 xml:space="preserve">for working age population (%) </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2,25</w:t>
            </w: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2,30</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2,32</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2,43</w:t>
            </w:r>
          </w:p>
        </w:tc>
      </w:tr>
      <w:tr w:rsidR="004451CB" w:rsidTr="00D954D5">
        <w:tblPrEx>
          <w:jc w:val="left"/>
        </w:tblPrEx>
        <w:trPr>
          <w:gridAfter w:val="1"/>
          <w:wAfter w:w="57" w:type="pct"/>
          <w:trHeight w:hRule="exact" w:val="113"/>
        </w:trPr>
        <w:tc>
          <w:tcPr>
            <w:tcW w:w="2669" w:type="pct"/>
            <w:gridSpan w:val="3"/>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2,35</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2,52</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2,18</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2,29</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2,34</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2,77</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2,83</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2,82</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10. Unemployed population (‘000 persons)</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876,1</w:t>
            </w: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1048,8</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986,3</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1 216,9</w:t>
            </w:r>
          </w:p>
        </w:tc>
      </w:tr>
      <w:tr w:rsidR="004451CB" w:rsidTr="00D954D5">
        <w:tblPrEx>
          <w:jc w:val="left"/>
        </w:tblPrEx>
        <w:trPr>
          <w:gridAfter w:val="1"/>
          <w:wAfter w:w="57" w:type="pct"/>
          <w:trHeight w:hRule="exact" w:val="113"/>
        </w:trPr>
        <w:tc>
          <w:tcPr>
            <w:tcW w:w="2669" w:type="pct"/>
            <w:gridSpan w:val="3"/>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480,1</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578,5</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507,1</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645,1</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396,0</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470,3</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479,2</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571,8</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481,2</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490,4</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479,6</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553,3</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394,8</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558,4</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506,8</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663,6</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 xml:space="preserve">11. Unemployment rate (%) </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1,63</w:t>
            </w: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1,93</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1,81</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2,27</w:t>
            </w:r>
          </w:p>
        </w:tc>
      </w:tr>
      <w:tr w:rsidR="004451CB" w:rsidTr="00D954D5">
        <w:tblPrEx>
          <w:jc w:val="left"/>
        </w:tblPrEx>
        <w:trPr>
          <w:gridAfter w:val="1"/>
          <w:wAfter w:w="57" w:type="pct"/>
          <w:trHeight w:hRule="exact" w:val="113"/>
        </w:trPr>
        <w:tc>
          <w:tcPr>
            <w:tcW w:w="2669" w:type="pct"/>
            <w:gridSpan w:val="3"/>
            <w:tcBorders>
              <w:top w:val="nil"/>
              <w:left w:val="single" w:sz="4" w:space="0" w:color="auto"/>
              <w:bottom w:val="nil"/>
              <w:right w:val="nil"/>
            </w:tcBorders>
            <w:shd w:val="clear" w:color="auto" w:fill="auto"/>
            <w:noWrap/>
            <w:vAlign w:val="center"/>
            <w:hideMark/>
          </w:tcPr>
          <w:p w:rsidR="004451CB" w:rsidRDefault="004451CB">
            <w:pPr>
              <w:spacing w:after="0" w:line="240" w:lineRule="auto"/>
              <w:jc w:val="both"/>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1,74</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2,06</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2,32</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1,79</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1,81</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2,21</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3,01</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2,93</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3,27</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1,47</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1,33</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1,81</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 xml:space="preserve">12. Working age underemployment rate (%) </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1,84</w:t>
            </w: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2,17</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2,05</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2,43</w:t>
            </w:r>
          </w:p>
        </w:tc>
      </w:tr>
      <w:tr w:rsidR="004451CB" w:rsidTr="00D954D5">
        <w:tblPrEx>
          <w:jc w:val="left"/>
        </w:tblPrEx>
        <w:trPr>
          <w:gridAfter w:val="1"/>
          <w:wAfter w:w="57" w:type="pct"/>
          <w:trHeight w:hRule="exact" w:val="113"/>
        </w:trPr>
        <w:tc>
          <w:tcPr>
            <w:tcW w:w="2669" w:type="pct"/>
            <w:gridSpan w:val="3"/>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1,88</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2,42</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1,79</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2,15</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3,26</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3,27</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3,21</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3,43</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1,67</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1,52</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13. Unemployed youth (‘000 persons)</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384,7</w:t>
            </w: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543,8</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448,4</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586,2</w:t>
            </w:r>
          </w:p>
        </w:tc>
      </w:tr>
      <w:tr w:rsidR="004451CB" w:rsidTr="00D954D5">
        <w:tblPrEx>
          <w:jc w:val="left"/>
        </w:tblPrEx>
        <w:trPr>
          <w:gridAfter w:val="1"/>
          <w:wAfter w:w="57" w:type="pct"/>
          <w:trHeight w:hRule="exact" w:val="113"/>
        </w:trPr>
        <w:tc>
          <w:tcPr>
            <w:tcW w:w="2669" w:type="pct"/>
            <w:gridSpan w:val="3"/>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201,1</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275,7</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195,8</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300,5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183,6</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268,1</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252,6</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285,7</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191,4</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216,6</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195,2</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263,4</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1"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193,3</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327,2</w:t>
            </w:r>
          </w:p>
        </w:tc>
        <w:tc>
          <w:tcPr>
            <w:tcW w:w="637" w:type="pct"/>
            <w:tcBorders>
              <w:top w:val="nil"/>
              <w:left w:val="nil"/>
              <w:bottom w:val="nil"/>
              <w:right w:val="nil"/>
            </w:tcBorders>
            <w:shd w:val="clear" w:color="auto" w:fill="auto"/>
            <w:tcMar>
              <w:left w:w="432" w:type="dxa"/>
              <w:right w:w="-1"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253,2</w:t>
            </w:r>
          </w:p>
        </w:tc>
        <w:tc>
          <w:tcPr>
            <w:tcW w:w="616" w:type="pct"/>
            <w:gridSpan w:val="2"/>
            <w:tcBorders>
              <w:top w:val="nil"/>
              <w:left w:val="nil"/>
              <w:bottom w:val="nil"/>
              <w:right w:val="single" w:sz="4" w:space="0" w:color="auto"/>
            </w:tcBorders>
            <w:shd w:val="clear" w:color="auto" w:fill="auto"/>
            <w:tcMar>
              <w:left w:w="432" w:type="dxa"/>
              <w:right w:w="-1"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322,8</w:t>
            </w:r>
          </w:p>
        </w:tc>
      </w:tr>
      <w:tr w:rsidR="004451CB" w:rsidTr="00D954D5">
        <w:tblPrEx>
          <w:jc w:val="left"/>
        </w:tblPrEx>
        <w:trPr>
          <w:gridAfter w:val="1"/>
          <w:wAfter w:w="57" w:type="pct"/>
          <w:trHeight w:hRule="exact" w:val="170"/>
        </w:trPr>
        <w:tc>
          <w:tcPr>
            <w:tcW w:w="2669" w:type="pct"/>
            <w:gridSpan w:val="3"/>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b/>
                <w:bCs/>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b/>
                <w:bCs/>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14. Youth’s unemployment rate (%)</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5,09</w:t>
            </w: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7,02</w:t>
            </w:r>
          </w:p>
        </w:tc>
        <w:tc>
          <w:tcPr>
            <w:tcW w:w="637" w:type="pct"/>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6,17</w:t>
            </w: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6,60</w:t>
            </w:r>
          </w:p>
        </w:tc>
      </w:tr>
      <w:tr w:rsidR="004451CB" w:rsidTr="00D954D5">
        <w:tblPrEx>
          <w:jc w:val="left"/>
        </w:tblPrEx>
        <w:trPr>
          <w:gridAfter w:val="1"/>
          <w:wAfter w:w="57" w:type="pct"/>
          <w:trHeight w:hRule="exact" w:val="113"/>
        </w:trPr>
        <w:tc>
          <w:tcPr>
            <w:tcW w:w="2669" w:type="pct"/>
            <w:gridSpan w:val="3"/>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40" w:type="pct"/>
            <w:gridSpan w:val="2"/>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37" w:type="pct"/>
            <w:tcBorders>
              <w:top w:val="nil"/>
              <w:left w:val="nil"/>
              <w:bottom w:val="nil"/>
              <w:right w:val="nil"/>
            </w:tcBorders>
            <w:shd w:val="clear" w:color="auto" w:fill="auto"/>
            <w:tcMar>
              <w:left w:w="0" w:type="dxa"/>
              <w:right w:w="259"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616" w:type="pct"/>
            <w:gridSpan w:val="2"/>
            <w:tcBorders>
              <w:top w:val="nil"/>
              <w:left w:val="nil"/>
              <w:bottom w:val="nil"/>
              <w:right w:val="single" w:sz="4" w:space="0" w:color="auto"/>
            </w:tcBorders>
            <w:shd w:val="clear" w:color="auto" w:fill="auto"/>
            <w:tcMar>
              <w:left w:w="0" w:type="dxa"/>
              <w:right w:w="259"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20"/>
                <w:szCs w:val="20"/>
              </w:rPr>
            </w:pP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0"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4,85</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6,48</w:t>
            </w:r>
          </w:p>
        </w:tc>
        <w:tc>
          <w:tcPr>
            <w:tcW w:w="637" w:type="pct"/>
            <w:tcBorders>
              <w:top w:val="nil"/>
              <w:left w:val="nil"/>
              <w:bottom w:val="nil"/>
              <w:right w:val="nil"/>
            </w:tcBorders>
            <w:shd w:val="clear" w:color="auto" w:fill="auto"/>
            <w:tcMar>
              <w:left w:w="432" w:type="dxa"/>
              <w:right w:w="0"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4,97</w:t>
            </w:r>
          </w:p>
        </w:tc>
        <w:tc>
          <w:tcPr>
            <w:tcW w:w="616" w:type="pct"/>
            <w:gridSpan w:val="2"/>
            <w:tcBorders>
              <w:top w:val="nil"/>
              <w:left w:val="nil"/>
              <w:bottom w:val="nil"/>
              <w:right w:val="single" w:sz="4" w:space="0" w:color="auto"/>
            </w:tcBorders>
            <w:shd w:val="clear" w:color="auto" w:fill="auto"/>
            <w:tcMar>
              <w:left w:w="432" w:type="dxa"/>
              <w:right w:w="0"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6,25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0"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Female</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5,38</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7,68</w:t>
            </w:r>
          </w:p>
        </w:tc>
        <w:tc>
          <w:tcPr>
            <w:tcW w:w="637" w:type="pct"/>
            <w:tcBorders>
              <w:top w:val="nil"/>
              <w:left w:val="nil"/>
              <w:bottom w:val="nil"/>
              <w:right w:val="nil"/>
            </w:tcBorders>
            <w:shd w:val="clear" w:color="auto" w:fill="auto"/>
            <w:tcMar>
              <w:left w:w="432" w:type="dxa"/>
              <w:right w:w="0"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7,59</w:t>
            </w:r>
          </w:p>
        </w:tc>
        <w:tc>
          <w:tcPr>
            <w:tcW w:w="616" w:type="pct"/>
            <w:gridSpan w:val="2"/>
            <w:tcBorders>
              <w:top w:val="nil"/>
              <w:left w:val="nil"/>
              <w:bottom w:val="nil"/>
              <w:right w:val="single" w:sz="4" w:space="0" w:color="auto"/>
            </w:tcBorders>
            <w:shd w:val="clear" w:color="auto" w:fill="auto"/>
            <w:tcMar>
              <w:left w:w="432" w:type="dxa"/>
              <w:right w:w="0"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7,03</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0"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Urban</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10,65</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11,27</w:t>
            </w:r>
          </w:p>
        </w:tc>
        <w:tc>
          <w:tcPr>
            <w:tcW w:w="637" w:type="pct"/>
            <w:tcBorders>
              <w:top w:val="nil"/>
              <w:left w:val="nil"/>
              <w:bottom w:val="nil"/>
              <w:right w:val="nil"/>
            </w:tcBorders>
            <w:shd w:val="clear" w:color="auto" w:fill="auto"/>
            <w:tcMar>
              <w:left w:w="432" w:type="dxa"/>
              <w:right w:w="0"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10,43</w:t>
            </w:r>
          </w:p>
        </w:tc>
        <w:tc>
          <w:tcPr>
            <w:tcW w:w="616" w:type="pct"/>
            <w:gridSpan w:val="2"/>
            <w:tcBorders>
              <w:top w:val="nil"/>
              <w:left w:val="nil"/>
              <w:bottom w:val="nil"/>
              <w:right w:val="single" w:sz="4" w:space="0" w:color="auto"/>
            </w:tcBorders>
            <w:shd w:val="clear" w:color="auto" w:fill="auto"/>
            <w:tcMar>
              <w:left w:w="432" w:type="dxa"/>
              <w:right w:w="0"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10,95</w:t>
            </w:r>
          </w:p>
        </w:tc>
      </w:tr>
      <w:tr w:rsidR="004451CB" w:rsidTr="00D954D5">
        <w:tblPrEx>
          <w:jc w:val="left"/>
        </w:tblPrEx>
        <w:trPr>
          <w:gridAfter w:val="1"/>
          <w:wAfter w:w="57" w:type="pct"/>
          <w:trHeight w:hRule="exact" w:val="288"/>
        </w:trPr>
        <w:tc>
          <w:tcPr>
            <w:tcW w:w="2669" w:type="pct"/>
            <w:gridSpan w:val="3"/>
            <w:tcBorders>
              <w:top w:val="nil"/>
              <w:left w:val="single" w:sz="4" w:space="0" w:color="auto"/>
              <w:bottom w:val="nil"/>
              <w:right w:val="nil"/>
            </w:tcBorders>
            <w:shd w:val="clear" w:color="auto" w:fill="auto"/>
            <w:tcMar>
              <w:left w:w="432" w:type="dxa"/>
              <w:right w:w="0" w:type="dxa"/>
            </w:tcMar>
            <w:vAlign w:val="center"/>
            <w:hideMark/>
          </w:tcPr>
          <w:p w:rsidR="004451CB" w:rsidRDefault="000019EE">
            <w:pPr>
              <w:spacing w:after="0" w:line="240" w:lineRule="auto"/>
              <w:contextualSpacing/>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Rural</w:t>
            </w:r>
          </w:p>
        </w:tc>
        <w:tc>
          <w:tcPr>
            <w:tcW w:w="381" w:type="pct"/>
            <w:gridSpan w:val="2"/>
            <w:tcBorders>
              <w:top w:val="nil"/>
              <w:left w:val="nil"/>
              <w:bottom w:val="nil"/>
              <w:right w:val="nil"/>
            </w:tcBorders>
            <w:shd w:val="clear" w:color="auto" w:fill="auto"/>
            <w:tcMar>
              <w:left w:w="0"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3,35</w:t>
            </w:r>
          </w:p>
        </w:tc>
        <w:tc>
          <w:tcPr>
            <w:tcW w:w="640" w:type="pct"/>
            <w:gridSpan w:val="2"/>
            <w:tcBorders>
              <w:top w:val="nil"/>
              <w:left w:val="nil"/>
              <w:bottom w:val="nil"/>
              <w:right w:val="nil"/>
            </w:tcBorders>
            <w:shd w:val="clear" w:color="auto" w:fill="auto"/>
            <w:tcMar>
              <w:left w:w="432" w:type="dxa"/>
              <w:right w:w="259"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5,62</w:t>
            </w:r>
          </w:p>
        </w:tc>
        <w:tc>
          <w:tcPr>
            <w:tcW w:w="637" w:type="pct"/>
            <w:tcBorders>
              <w:top w:val="nil"/>
              <w:left w:val="nil"/>
              <w:bottom w:val="nil"/>
              <w:right w:val="nil"/>
            </w:tcBorders>
            <w:shd w:val="clear" w:color="auto" w:fill="auto"/>
            <w:tcMar>
              <w:left w:w="432" w:type="dxa"/>
              <w:right w:w="0" w:type="dxa"/>
            </w:tcMar>
            <w:vAlign w:val="center"/>
            <w:hideMark/>
          </w:tcPr>
          <w:p w:rsidR="004451CB" w:rsidRDefault="000019EE">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4,69</w:t>
            </w:r>
          </w:p>
        </w:tc>
        <w:tc>
          <w:tcPr>
            <w:tcW w:w="616" w:type="pct"/>
            <w:gridSpan w:val="2"/>
            <w:tcBorders>
              <w:top w:val="nil"/>
              <w:left w:val="nil"/>
              <w:bottom w:val="nil"/>
              <w:right w:val="single" w:sz="4" w:space="0" w:color="auto"/>
            </w:tcBorders>
            <w:shd w:val="clear" w:color="auto" w:fill="auto"/>
            <w:tcMar>
              <w:left w:w="432" w:type="dxa"/>
              <w:right w:w="0"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4,99</w:t>
            </w:r>
          </w:p>
        </w:tc>
      </w:tr>
      <w:tr w:rsidR="004451CB" w:rsidTr="00D954D5">
        <w:tblPrEx>
          <w:jc w:val="left"/>
        </w:tblPrEx>
        <w:trPr>
          <w:gridAfter w:val="1"/>
          <w:wAfter w:w="57" w:type="pct"/>
          <w:trHeight w:hRule="exact" w:val="144"/>
        </w:trPr>
        <w:tc>
          <w:tcPr>
            <w:tcW w:w="2669" w:type="pct"/>
            <w:gridSpan w:val="3"/>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rPr>
            </w:pPr>
          </w:p>
        </w:tc>
        <w:tc>
          <w:tcPr>
            <w:tcW w:w="381" w:type="pct"/>
            <w:gridSpan w:val="2"/>
            <w:tcBorders>
              <w:top w:val="nil"/>
              <w:left w:val="nil"/>
              <w:bottom w:val="single" w:sz="4" w:space="0" w:color="auto"/>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40" w:type="pct"/>
            <w:gridSpan w:val="2"/>
            <w:tcBorders>
              <w:top w:val="nil"/>
              <w:left w:val="nil"/>
              <w:bottom w:val="single" w:sz="4" w:space="0" w:color="auto"/>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37" w:type="pct"/>
            <w:tcBorders>
              <w:top w:val="nil"/>
              <w:left w:val="nil"/>
              <w:bottom w:val="single" w:sz="4" w:space="0" w:color="auto"/>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616" w:type="pct"/>
            <w:gridSpan w:val="2"/>
            <w:tcBorders>
              <w:top w:val="nil"/>
              <w:left w:val="nil"/>
              <w:bottom w:val="single" w:sz="4" w:space="0" w:color="auto"/>
              <w:right w:val="single" w:sz="4" w:space="0" w:color="auto"/>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r>
    </w:tbl>
    <w:p w:rsidR="004451CB" w:rsidRDefault="004451CB">
      <w:pPr>
        <w:widowControl w:val="0"/>
        <w:autoSpaceDE w:val="0"/>
        <w:autoSpaceDN w:val="0"/>
        <w:adjustRightInd w:val="0"/>
        <w:spacing w:after="0" w:line="240" w:lineRule="auto"/>
        <w:jc w:val="both"/>
        <w:rPr>
          <w:rFonts w:ascii="Times New Roman" w:hAnsi="Times New Roman" w:cs="Times New Roman"/>
          <w:b/>
          <w:i/>
          <w:sz w:val="8"/>
          <w:szCs w:val="24"/>
        </w:rPr>
      </w:pPr>
    </w:p>
    <w:p w:rsidR="004451CB" w:rsidRDefault="000019EE">
      <w:pPr>
        <w:jc w:val="both"/>
        <w:rPr>
          <w:rFonts w:ascii="Times New Roman" w:hAnsi="Times New Roman" w:cs="Times New Roman"/>
          <w:b/>
          <w:i/>
          <w:szCs w:val="24"/>
        </w:rPr>
      </w:pPr>
      <w:r>
        <w:rPr>
          <w:rFonts w:ascii="Times New Roman" w:hAnsi="Times New Roman" w:cs="Times New Roman"/>
          <w:b/>
          <w:i/>
          <w:szCs w:val="24"/>
        </w:rPr>
        <w:t>Note:</w:t>
      </w:r>
      <w:r>
        <w:rPr>
          <w:rFonts w:ascii="Times New Roman" w:hAnsi="Times New Roman" w:cs="Times New Roman"/>
          <w:i/>
          <w:szCs w:val="24"/>
        </w:rPr>
        <w:t xml:space="preserve"> These above indicators were calculated for those persons aged 15+, except for the working age unemployment and underemployment rates that were calculated for men aged from 15 to 59  and for women aged from 15 to 54 and also except for youth’s indicators that were calculated for those persons aged from 15 to 24.</w:t>
      </w:r>
    </w:p>
    <w:p w:rsidR="00D954D5" w:rsidRDefault="00D954D5">
      <w:pPr>
        <w:rPr>
          <w:rFonts w:ascii="Times New Roman" w:hAnsi="Times New Roman" w:cs="Times New Roman"/>
          <w:b/>
          <w:bCs/>
          <w:sz w:val="28"/>
          <w:szCs w:val="28"/>
        </w:rPr>
      </w:pPr>
      <w:bookmarkStart w:id="6" w:name="page19"/>
      <w:bookmarkEnd w:id="6"/>
      <w:r>
        <w:rPr>
          <w:rFonts w:ascii="Times New Roman" w:hAnsi="Times New Roman" w:cs="Times New Roman"/>
          <w:b/>
          <w:bCs/>
          <w:sz w:val="28"/>
          <w:szCs w:val="28"/>
        </w:rPr>
        <w:br w:type="page"/>
      </w:r>
    </w:p>
    <w:p w:rsidR="004451CB" w:rsidRDefault="000019EE">
      <w:pPr>
        <w:widowControl w:val="0"/>
        <w:autoSpaceDE w:val="0"/>
        <w:autoSpaceDN w:val="0"/>
        <w:adjustRightInd w:val="0"/>
        <w:spacing w:after="0" w:line="288" w:lineRule="auto"/>
        <w:rPr>
          <w:rFonts w:ascii="Times New Roman" w:hAnsi="Times New Roman" w:cs="Times New Roman"/>
          <w:sz w:val="24"/>
          <w:szCs w:val="24"/>
        </w:rPr>
      </w:pPr>
      <w:r>
        <w:rPr>
          <w:rFonts w:ascii="Times New Roman" w:hAnsi="Times New Roman" w:cs="Times New Roman"/>
          <w:b/>
          <w:bCs/>
          <w:sz w:val="28"/>
          <w:szCs w:val="28"/>
        </w:rPr>
        <w:lastRenderedPageBreak/>
        <w:t>II. MAJOR FINDINGS</w:t>
      </w:r>
    </w:p>
    <w:p w:rsidR="004451CB" w:rsidRDefault="000019EE">
      <w:pPr>
        <w:widowControl w:val="0"/>
        <w:autoSpaceDE w:val="0"/>
        <w:autoSpaceDN w:val="0"/>
        <w:adjustRightInd w:val="0"/>
        <w:spacing w:after="0" w:line="288" w:lineRule="auto"/>
        <w:rPr>
          <w:rFonts w:ascii="Times New Roman" w:hAnsi="Times New Roman" w:cs="Times New Roman"/>
          <w:sz w:val="24"/>
          <w:szCs w:val="24"/>
        </w:rPr>
      </w:pPr>
      <w:r>
        <w:rPr>
          <w:rFonts w:ascii="Times New Roman" w:hAnsi="Times New Roman" w:cs="Times New Roman"/>
          <w:b/>
          <w:bCs/>
          <w:sz w:val="28"/>
          <w:szCs w:val="28"/>
        </w:rPr>
        <w:t>1. Labour force</w:t>
      </w:r>
    </w:p>
    <w:p w:rsidR="004451CB" w:rsidRDefault="000019EE">
      <w:pPr>
        <w:widowControl w:val="0"/>
        <w:autoSpaceDE w:val="0"/>
        <w:autoSpaceDN w:val="0"/>
        <w:adjustRightInd w:val="0"/>
        <w:spacing w:after="0" w:line="288" w:lineRule="auto"/>
        <w:rPr>
          <w:rFonts w:ascii="Times New Roman" w:hAnsi="Times New Roman" w:cs="Times New Roman"/>
          <w:sz w:val="24"/>
          <w:szCs w:val="24"/>
        </w:rPr>
      </w:pPr>
      <w:r>
        <w:rPr>
          <w:rFonts w:ascii="Times New Roman" w:hAnsi="Times New Roman" w:cs="Times New Roman"/>
          <w:b/>
          <w:bCs/>
          <w:i/>
          <w:iCs/>
          <w:sz w:val="28"/>
          <w:szCs w:val="28"/>
        </w:rPr>
        <w:t>1.1 Size and distribution of labour force and labour force participation rate</w:t>
      </w:r>
    </w:p>
    <w:p w:rsidR="004451CB" w:rsidRDefault="004451CB">
      <w:pPr>
        <w:widowControl w:val="0"/>
        <w:autoSpaceDE w:val="0"/>
        <w:autoSpaceDN w:val="0"/>
        <w:adjustRightInd w:val="0"/>
        <w:spacing w:after="0" w:line="288" w:lineRule="auto"/>
        <w:rPr>
          <w:rFonts w:ascii="Times New Roman" w:hAnsi="Times New Roman" w:cs="Times New Roman"/>
          <w:sz w:val="24"/>
          <w:szCs w:val="24"/>
        </w:rPr>
      </w:pPr>
    </w:p>
    <w:p w:rsidR="004451CB" w:rsidRDefault="000019EE">
      <w:pPr>
        <w:widowControl w:val="0"/>
        <w:overflowPunct w:val="0"/>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As of Quarter 1 2015, the labour force aged 15 and above in Vietnam reached to 53.6 million people. Despite of the increase on share for urban labour force, approximately 68.4% of the labour force in Vietnam has been residing in rural areas. Three regions occupying the highest relevant proportions namely in descending order as Red River Delta, North and South Central Coast and Mekong River Delta accounted for 63.0% of total labour force. As of Quarter 1, 2015, females constituted about 48.1% (equivalent to 25.82 million persons) to total labour force.</w:t>
      </w:r>
    </w:p>
    <w:p w:rsidR="004451CB" w:rsidRDefault="004451CB">
      <w:pPr>
        <w:widowControl w:val="0"/>
        <w:overflowPunct w:val="0"/>
        <w:autoSpaceDE w:val="0"/>
        <w:autoSpaceDN w:val="0"/>
        <w:adjustRightInd w:val="0"/>
        <w:spacing w:after="0"/>
        <w:ind w:firstLine="720"/>
        <w:jc w:val="both"/>
        <w:rPr>
          <w:rFonts w:ascii="Times New Roman" w:hAnsi="Times New Roman" w:cs="Times New Roman"/>
          <w:sz w:val="24"/>
          <w:szCs w:val="24"/>
        </w:rPr>
      </w:pPr>
    </w:p>
    <w:p w:rsidR="004451CB" w:rsidRDefault="000019EE">
      <w:pPr>
        <w:widowControl w:val="0"/>
        <w:overflowPunct w:val="0"/>
        <w:autoSpaceDE w:val="0"/>
        <w:autoSpaceDN w:val="0"/>
        <w:adjustRightInd w:val="0"/>
        <w:spacing w:after="0"/>
        <w:jc w:val="center"/>
        <w:rPr>
          <w:rFonts w:ascii="Times New Roman" w:hAnsi="Times New Roman" w:cs="Times New Roman"/>
          <w:b/>
          <w:bCs/>
          <w:sz w:val="26"/>
          <w:szCs w:val="26"/>
        </w:rPr>
      </w:pPr>
      <w:r>
        <w:rPr>
          <w:rFonts w:ascii="Times New Roman" w:hAnsi="Times New Roman" w:cs="Times New Roman"/>
          <w:b/>
          <w:bCs/>
          <w:sz w:val="26"/>
          <w:szCs w:val="26"/>
        </w:rPr>
        <w:t>Table 1: Percentage distribution of labour force and labour force participation rate classified by urban/rural, social-economic regions in quarter 1, 2015</w:t>
      </w:r>
    </w:p>
    <w:p w:rsidR="004451CB" w:rsidRDefault="004451CB">
      <w:pPr>
        <w:widowControl w:val="0"/>
        <w:overflowPunct w:val="0"/>
        <w:autoSpaceDE w:val="0"/>
        <w:autoSpaceDN w:val="0"/>
        <w:adjustRightInd w:val="0"/>
        <w:spacing w:after="0"/>
        <w:jc w:val="center"/>
        <w:rPr>
          <w:rFonts w:ascii="Times New Roman" w:hAnsi="Times New Roman" w:cs="Times New Roman"/>
          <w:b/>
          <w:bCs/>
          <w:sz w:val="26"/>
          <w:szCs w:val="26"/>
        </w:rPr>
      </w:pPr>
    </w:p>
    <w:p w:rsidR="004451CB" w:rsidRDefault="000019EE">
      <w:pPr>
        <w:widowControl w:val="0"/>
        <w:overflowPunct w:val="0"/>
        <w:autoSpaceDE w:val="0"/>
        <w:autoSpaceDN w:val="0"/>
        <w:adjustRightInd w:val="0"/>
        <w:spacing w:after="0" w:line="288" w:lineRule="auto"/>
        <w:jc w:val="right"/>
        <w:rPr>
          <w:rFonts w:ascii="Times New Roman" w:hAnsi="Times New Roman" w:cs="Times New Roman"/>
          <w:bCs/>
          <w:i/>
          <w:sz w:val="20"/>
          <w:szCs w:val="26"/>
        </w:rPr>
      </w:pPr>
      <w:r>
        <w:rPr>
          <w:rFonts w:ascii="Times New Roman" w:hAnsi="Times New Roman" w:cs="Times New Roman"/>
          <w:bCs/>
          <w:i/>
          <w:sz w:val="20"/>
          <w:szCs w:val="26"/>
        </w:rPr>
        <w:t>Unit: %</w:t>
      </w:r>
    </w:p>
    <w:tbl>
      <w:tblPr>
        <w:tblW w:w="5000" w:type="pct"/>
        <w:tblLayout w:type="fixed"/>
        <w:tblLook w:val="04A0" w:firstRow="1" w:lastRow="0" w:firstColumn="1" w:lastColumn="0" w:noHBand="0" w:noVBand="1"/>
      </w:tblPr>
      <w:tblGrid>
        <w:gridCol w:w="3661"/>
        <w:gridCol w:w="729"/>
        <w:gridCol w:w="729"/>
        <w:gridCol w:w="912"/>
        <w:gridCol w:w="910"/>
        <w:gridCol w:w="727"/>
        <w:gridCol w:w="729"/>
        <w:gridCol w:w="927"/>
      </w:tblGrid>
      <w:tr w:rsidR="004451CB">
        <w:trPr>
          <w:trHeight w:val="300"/>
        </w:trPr>
        <w:tc>
          <w:tcPr>
            <w:tcW w:w="1963" w:type="pct"/>
            <w:vMerge w:val="restart"/>
            <w:tcBorders>
              <w:top w:val="single" w:sz="4" w:space="0" w:color="auto"/>
              <w:left w:val="single" w:sz="4" w:space="0" w:color="auto"/>
              <w:bottom w:val="single" w:sz="8" w:space="0" w:color="000000"/>
              <w:right w:val="single" w:sz="8"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Basic characteristic</w:t>
            </w:r>
          </w:p>
        </w:tc>
        <w:tc>
          <w:tcPr>
            <w:tcW w:w="1759" w:type="pct"/>
            <w:gridSpan w:val="4"/>
            <w:vMerge w:val="restart"/>
            <w:tcBorders>
              <w:top w:val="single" w:sz="4" w:space="0" w:color="auto"/>
              <w:left w:val="single" w:sz="8" w:space="0" w:color="auto"/>
              <w:bottom w:val="single" w:sz="8" w:space="0" w:color="000000"/>
              <w:right w:val="single" w:sz="8" w:space="0" w:color="000000"/>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Proportion of Labor force</w:t>
            </w:r>
          </w:p>
        </w:tc>
        <w:tc>
          <w:tcPr>
            <w:tcW w:w="1278" w:type="pct"/>
            <w:gridSpan w:val="3"/>
            <w:vMerge w:val="restart"/>
            <w:tcBorders>
              <w:top w:val="single" w:sz="4" w:space="0" w:color="auto"/>
              <w:left w:val="single" w:sz="8" w:space="0" w:color="auto"/>
              <w:bottom w:val="single" w:sz="8" w:space="0" w:color="000000"/>
              <w:right w:val="single" w:sz="4" w:space="0" w:color="000000"/>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Labor force participation rate</w:t>
            </w:r>
          </w:p>
        </w:tc>
      </w:tr>
      <w:tr w:rsidR="004451CB">
        <w:trPr>
          <w:trHeight w:val="361"/>
        </w:trPr>
        <w:tc>
          <w:tcPr>
            <w:tcW w:w="1963" w:type="pct"/>
            <w:vMerge/>
            <w:tcBorders>
              <w:top w:val="single" w:sz="4" w:space="0" w:color="auto"/>
              <w:left w:val="single" w:sz="4"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b/>
                <w:bCs/>
                <w:color w:val="000000"/>
                <w:sz w:val="21"/>
                <w:szCs w:val="21"/>
              </w:rPr>
            </w:pPr>
          </w:p>
        </w:tc>
        <w:tc>
          <w:tcPr>
            <w:tcW w:w="1759" w:type="pct"/>
            <w:gridSpan w:val="4"/>
            <w:vMerge/>
            <w:tcBorders>
              <w:top w:val="single" w:sz="4" w:space="0" w:color="auto"/>
              <w:left w:val="single" w:sz="8" w:space="0" w:color="auto"/>
              <w:bottom w:val="single" w:sz="8" w:space="0" w:color="000000"/>
              <w:right w:val="single" w:sz="8" w:space="0" w:color="000000"/>
            </w:tcBorders>
            <w:vAlign w:val="center"/>
            <w:hideMark/>
          </w:tcPr>
          <w:p w:rsidR="004451CB" w:rsidRDefault="004451CB">
            <w:pPr>
              <w:spacing w:after="0" w:line="240" w:lineRule="auto"/>
              <w:rPr>
                <w:rFonts w:ascii="Times New Roman" w:eastAsia="Times New Roman" w:hAnsi="Times New Roman" w:cs="Times New Roman"/>
                <w:b/>
                <w:color w:val="000000"/>
                <w:sz w:val="21"/>
                <w:szCs w:val="21"/>
              </w:rPr>
            </w:pPr>
          </w:p>
        </w:tc>
        <w:tc>
          <w:tcPr>
            <w:tcW w:w="1278" w:type="pct"/>
            <w:gridSpan w:val="3"/>
            <w:vMerge/>
            <w:tcBorders>
              <w:top w:val="single" w:sz="4" w:space="0" w:color="auto"/>
              <w:left w:val="single" w:sz="8" w:space="0" w:color="auto"/>
              <w:bottom w:val="single" w:sz="8" w:space="0" w:color="000000"/>
              <w:right w:val="single" w:sz="4" w:space="0" w:color="000000"/>
            </w:tcBorders>
            <w:vAlign w:val="center"/>
            <w:hideMark/>
          </w:tcPr>
          <w:p w:rsidR="004451CB" w:rsidRDefault="004451CB">
            <w:pPr>
              <w:spacing w:after="0" w:line="240" w:lineRule="auto"/>
              <w:rPr>
                <w:rFonts w:ascii="Times New Roman" w:eastAsia="Times New Roman" w:hAnsi="Times New Roman" w:cs="Times New Roman"/>
                <w:b/>
                <w:color w:val="000000"/>
                <w:sz w:val="21"/>
                <w:szCs w:val="21"/>
              </w:rPr>
            </w:pPr>
          </w:p>
        </w:tc>
      </w:tr>
      <w:tr w:rsidR="004451CB">
        <w:trPr>
          <w:trHeight w:hRule="exact" w:val="144"/>
        </w:trPr>
        <w:tc>
          <w:tcPr>
            <w:tcW w:w="1963" w:type="pct"/>
            <w:vMerge/>
            <w:tcBorders>
              <w:top w:val="single" w:sz="4" w:space="0" w:color="auto"/>
              <w:left w:val="single" w:sz="4"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b/>
                <w:bCs/>
                <w:color w:val="000000"/>
                <w:sz w:val="21"/>
                <w:szCs w:val="21"/>
              </w:rPr>
            </w:pPr>
          </w:p>
        </w:tc>
        <w:tc>
          <w:tcPr>
            <w:tcW w:w="391" w:type="pct"/>
            <w:vMerge w:val="restart"/>
            <w:tcBorders>
              <w:top w:val="nil"/>
              <w:left w:val="single" w:sz="8" w:space="0" w:color="auto"/>
              <w:bottom w:val="single" w:sz="8" w:space="0" w:color="000000"/>
              <w:right w:val="single" w:sz="8"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Total</w:t>
            </w:r>
          </w:p>
        </w:tc>
        <w:tc>
          <w:tcPr>
            <w:tcW w:w="391" w:type="pct"/>
            <w:vMerge w:val="restart"/>
            <w:tcBorders>
              <w:top w:val="nil"/>
              <w:left w:val="single" w:sz="8" w:space="0" w:color="auto"/>
              <w:bottom w:val="single" w:sz="8" w:space="0" w:color="000000"/>
              <w:right w:val="single" w:sz="8"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Male</w:t>
            </w:r>
          </w:p>
        </w:tc>
        <w:tc>
          <w:tcPr>
            <w:tcW w:w="489" w:type="pct"/>
            <w:vMerge w:val="restart"/>
            <w:tcBorders>
              <w:top w:val="nil"/>
              <w:left w:val="single" w:sz="8" w:space="0" w:color="auto"/>
              <w:bottom w:val="single" w:sz="8" w:space="0" w:color="000000"/>
              <w:right w:val="single" w:sz="8"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Female</w:t>
            </w:r>
          </w:p>
        </w:tc>
        <w:tc>
          <w:tcPr>
            <w:tcW w:w="488" w:type="pct"/>
            <w:vMerge w:val="restart"/>
            <w:tcBorders>
              <w:top w:val="nil"/>
              <w:left w:val="single" w:sz="8" w:space="0" w:color="auto"/>
              <w:bottom w:val="single" w:sz="8" w:space="0" w:color="000000"/>
              <w:right w:val="single" w:sz="8"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Female</w:t>
            </w:r>
          </w:p>
        </w:tc>
        <w:tc>
          <w:tcPr>
            <w:tcW w:w="390" w:type="pct"/>
            <w:vMerge w:val="restart"/>
            <w:tcBorders>
              <w:top w:val="nil"/>
              <w:left w:val="single" w:sz="8" w:space="0" w:color="auto"/>
              <w:bottom w:val="single" w:sz="8" w:space="0" w:color="000000"/>
              <w:right w:val="single" w:sz="8"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Total</w:t>
            </w:r>
          </w:p>
        </w:tc>
        <w:tc>
          <w:tcPr>
            <w:tcW w:w="391" w:type="pct"/>
            <w:vMerge w:val="restart"/>
            <w:tcBorders>
              <w:top w:val="nil"/>
              <w:left w:val="single" w:sz="8" w:space="0" w:color="auto"/>
              <w:bottom w:val="single" w:sz="8" w:space="0" w:color="000000"/>
              <w:right w:val="single" w:sz="8"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Male</w:t>
            </w:r>
          </w:p>
        </w:tc>
        <w:tc>
          <w:tcPr>
            <w:tcW w:w="497" w:type="pct"/>
            <w:vMerge w:val="restart"/>
            <w:tcBorders>
              <w:top w:val="nil"/>
              <w:left w:val="single" w:sz="8" w:space="0" w:color="auto"/>
              <w:bottom w:val="single" w:sz="8" w:space="0" w:color="000000"/>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Female</w:t>
            </w:r>
          </w:p>
        </w:tc>
      </w:tr>
      <w:tr w:rsidR="004451CB">
        <w:trPr>
          <w:trHeight w:val="361"/>
        </w:trPr>
        <w:tc>
          <w:tcPr>
            <w:tcW w:w="1963" w:type="pct"/>
            <w:vMerge/>
            <w:tcBorders>
              <w:top w:val="single" w:sz="4" w:space="0" w:color="auto"/>
              <w:left w:val="single" w:sz="4"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b/>
                <w:bCs/>
                <w:color w:val="000000"/>
                <w:sz w:val="21"/>
                <w:szCs w:val="21"/>
              </w:rPr>
            </w:pPr>
          </w:p>
        </w:tc>
        <w:tc>
          <w:tcPr>
            <w:tcW w:w="391"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1"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489"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488"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0"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1"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497" w:type="pct"/>
            <w:vMerge/>
            <w:tcBorders>
              <w:top w:val="nil"/>
              <w:left w:val="single" w:sz="8" w:space="0" w:color="auto"/>
              <w:bottom w:val="single" w:sz="8" w:space="0" w:color="000000"/>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r>
      <w:tr w:rsidR="004451CB">
        <w:trPr>
          <w:trHeight w:val="361"/>
        </w:trPr>
        <w:tc>
          <w:tcPr>
            <w:tcW w:w="1963" w:type="pct"/>
            <w:vMerge/>
            <w:tcBorders>
              <w:top w:val="single" w:sz="4" w:space="0" w:color="auto"/>
              <w:left w:val="single" w:sz="4"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b/>
                <w:bCs/>
                <w:color w:val="000000"/>
                <w:sz w:val="21"/>
                <w:szCs w:val="21"/>
              </w:rPr>
            </w:pPr>
          </w:p>
        </w:tc>
        <w:tc>
          <w:tcPr>
            <w:tcW w:w="391"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1"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489"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488"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0"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1" w:type="pct"/>
            <w:vMerge/>
            <w:tcBorders>
              <w:top w:val="nil"/>
              <w:left w:val="single" w:sz="8" w:space="0" w:color="auto"/>
              <w:bottom w:val="single" w:sz="8" w:space="0" w:color="000000"/>
              <w:right w:val="single" w:sz="8"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497" w:type="pct"/>
            <w:vMerge/>
            <w:tcBorders>
              <w:top w:val="nil"/>
              <w:left w:val="single" w:sz="8" w:space="0" w:color="auto"/>
              <w:bottom w:val="single" w:sz="8" w:space="0" w:color="000000"/>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r>
      <w:tr w:rsidR="004451CB">
        <w:trPr>
          <w:trHeight w:hRule="exact" w:val="144"/>
        </w:trPr>
        <w:tc>
          <w:tcPr>
            <w:tcW w:w="1963" w:type="pct"/>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b/>
                <w:bCs/>
                <w:color w:val="000000"/>
                <w:sz w:val="21"/>
                <w:szCs w:val="21"/>
              </w:rPr>
            </w:pPr>
          </w:p>
        </w:tc>
        <w:tc>
          <w:tcPr>
            <w:tcW w:w="391" w:type="pct"/>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391" w:type="pct"/>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489" w:type="pct"/>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488" w:type="pct"/>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390" w:type="pct"/>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391" w:type="pct"/>
            <w:tcBorders>
              <w:top w:val="nil"/>
              <w:left w:val="nil"/>
              <w:bottom w:val="nil"/>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497"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Whole country</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100.0</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100.0</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100.0</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48.1</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77.3</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82.6</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72.4</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Urban</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31.6</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31.5</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31.7</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48.3</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70.9</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76.9</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65.5</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Rural</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68.4</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68.5</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68.3</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48.1</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80.7</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85.5</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76.1</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Social-economic region</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Northern Midlands and Mountains</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13.5</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13.1</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13.9</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49.6</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84.6</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87.0</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82.4</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Red River Delta </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21.9</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21.1</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22.8</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50.1</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74.5</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77.4</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71.8</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Of which</w:t>
            </w:r>
            <w:r>
              <w:rPr>
                <w:rFonts w:ascii="Times New Roman" w:eastAsia="Times New Roman" w:hAnsi="Times New Roman" w:cs="Times New Roman"/>
                <w:color w:val="000000"/>
                <w:sz w:val="21"/>
                <w:szCs w:val="21"/>
              </w:rPr>
              <w:t>: Hanoi city</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7.0</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7.2</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49.7</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70.0</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73.1</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67.1</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North and South Central Coast</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21.8</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21.5</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22.1</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48.9</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77.9</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82.0</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74.0</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Central Highlands</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6.2</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6.2</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6.2</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48.4</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83.5</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87.9</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79.3</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Southeast </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17.2</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17.6</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16.8</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46.9</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74.1</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82.0</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66.8</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Of which</w:t>
            </w:r>
            <w:r>
              <w:rPr>
                <w:rFonts w:ascii="Times New Roman" w:eastAsia="Times New Roman" w:hAnsi="Times New Roman" w:cs="Times New Roman"/>
                <w:color w:val="000000"/>
                <w:sz w:val="21"/>
                <w:szCs w:val="21"/>
              </w:rPr>
              <w:t>: Hochiminh city</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8.3</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8.1</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47.4</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69.9</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78.2</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62.5</w:t>
            </w:r>
          </w:p>
        </w:tc>
      </w:tr>
      <w:tr w:rsidR="004451CB">
        <w:trPr>
          <w:trHeight w:hRule="exact" w:val="360"/>
        </w:trPr>
        <w:tc>
          <w:tcPr>
            <w:tcW w:w="1963"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0"/>
                <w:szCs w:val="20"/>
              </w:rPr>
              <w:t>Mekong River Delta</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19.3</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20.4</w:t>
            </w:r>
          </w:p>
        </w:tc>
        <w:tc>
          <w:tcPr>
            <w:tcW w:w="489"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18.1</w:t>
            </w:r>
          </w:p>
        </w:tc>
        <w:tc>
          <w:tcPr>
            <w:tcW w:w="488"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45.1</w:t>
            </w:r>
          </w:p>
        </w:tc>
        <w:tc>
          <w:tcPr>
            <w:tcW w:w="390"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76.5</w:t>
            </w:r>
          </w:p>
        </w:tc>
        <w:tc>
          <w:tcPr>
            <w:tcW w:w="391" w:type="pct"/>
            <w:tcBorders>
              <w:top w:val="nil"/>
              <w:left w:val="nil"/>
              <w:bottom w:val="nil"/>
              <w:right w:val="nil"/>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85.3</w:t>
            </w:r>
          </w:p>
        </w:tc>
        <w:tc>
          <w:tcPr>
            <w:tcW w:w="497" w:type="pct"/>
            <w:tcBorders>
              <w:top w:val="nil"/>
              <w:left w:val="nil"/>
              <w:bottom w:val="nil"/>
              <w:right w:val="single" w:sz="4" w:space="0" w:color="auto"/>
            </w:tcBorders>
            <w:shd w:val="clear" w:color="auto" w:fill="auto"/>
            <w:noWrap/>
            <w:tcMar>
              <w:left w:w="0" w:type="dxa"/>
              <w:right w:w="144"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67.9</w:t>
            </w:r>
          </w:p>
        </w:tc>
      </w:tr>
      <w:tr w:rsidR="004451CB">
        <w:trPr>
          <w:trHeight w:hRule="exact" w:val="144"/>
        </w:trPr>
        <w:tc>
          <w:tcPr>
            <w:tcW w:w="1963" w:type="pct"/>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21"/>
                <w:szCs w:val="21"/>
              </w:rPr>
            </w:pPr>
          </w:p>
        </w:tc>
        <w:tc>
          <w:tcPr>
            <w:tcW w:w="391" w:type="pct"/>
            <w:tcBorders>
              <w:top w:val="nil"/>
              <w:left w:val="nil"/>
              <w:bottom w:val="single" w:sz="4" w:space="0" w:color="auto"/>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391" w:type="pct"/>
            <w:tcBorders>
              <w:top w:val="nil"/>
              <w:left w:val="nil"/>
              <w:bottom w:val="single" w:sz="4" w:space="0" w:color="auto"/>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89" w:type="pct"/>
            <w:tcBorders>
              <w:top w:val="nil"/>
              <w:left w:val="nil"/>
              <w:bottom w:val="single" w:sz="4" w:space="0" w:color="auto"/>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88" w:type="pct"/>
            <w:tcBorders>
              <w:top w:val="nil"/>
              <w:left w:val="nil"/>
              <w:bottom w:val="single" w:sz="4" w:space="0" w:color="auto"/>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390" w:type="pct"/>
            <w:tcBorders>
              <w:top w:val="nil"/>
              <w:left w:val="nil"/>
              <w:bottom w:val="single" w:sz="4" w:space="0" w:color="auto"/>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391" w:type="pct"/>
            <w:tcBorders>
              <w:top w:val="nil"/>
              <w:left w:val="nil"/>
              <w:bottom w:val="single" w:sz="4" w:space="0" w:color="auto"/>
              <w:right w:val="nil"/>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97" w:type="pct"/>
            <w:tcBorders>
              <w:top w:val="nil"/>
              <w:left w:val="nil"/>
              <w:bottom w:val="single" w:sz="4" w:space="0" w:color="auto"/>
              <w:right w:val="single" w:sz="4" w:space="0" w:color="auto"/>
            </w:tcBorders>
            <w:shd w:val="clear" w:color="auto" w:fill="auto"/>
            <w:noWrap/>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r>
    </w:tbl>
    <w:p w:rsidR="004451CB" w:rsidRDefault="004451CB">
      <w:pPr>
        <w:widowControl w:val="0"/>
        <w:overflowPunct w:val="0"/>
        <w:autoSpaceDE w:val="0"/>
        <w:autoSpaceDN w:val="0"/>
        <w:adjustRightInd w:val="0"/>
        <w:spacing w:after="0" w:line="288" w:lineRule="auto"/>
        <w:jc w:val="right"/>
        <w:rPr>
          <w:rFonts w:ascii="Times New Roman" w:hAnsi="Times New Roman" w:cs="Times New Roman"/>
          <w:bCs/>
          <w:i/>
          <w:sz w:val="20"/>
          <w:szCs w:val="26"/>
        </w:rPr>
      </w:pPr>
    </w:p>
    <w:p w:rsidR="004451CB" w:rsidRDefault="004451CB">
      <w:pPr>
        <w:widowControl w:val="0"/>
        <w:overflowPunct w:val="0"/>
        <w:autoSpaceDE w:val="0"/>
        <w:autoSpaceDN w:val="0"/>
        <w:adjustRightInd w:val="0"/>
        <w:spacing w:after="0" w:line="288" w:lineRule="auto"/>
        <w:rPr>
          <w:rFonts w:ascii="Times New Roman" w:hAnsi="Times New Roman" w:cs="Times New Roman"/>
          <w:i/>
        </w:rPr>
      </w:pPr>
    </w:p>
    <w:p w:rsidR="004451CB" w:rsidRDefault="000019EE">
      <w:pPr>
        <w:widowControl w:val="0"/>
        <w:overflowPunct w:val="0"/>
        <w:autoSpaceDE w:val="0"/>
        <w:autoSpaceDN w:val="0"/>
        <w:adjustRightInd w:val="0"/>
        <w:spacing w:after="0" w:line="302" w:lineRule="auto"/>
        <w:ind w:right="220" w:firstLine="788"/>
        <w:jc w:val="both"/>
        <w:rPr>
          <w:rFonts w:ascii="Times New Roman" w:hAnsi="Times New Roman" w:cs="Times New Roman"/>
          <w:sz w:val="28"/>
          <w:szCs w:val="28"/>
        </w:rPr>
      </w:pPr>
      <w:r>
        <w:rPr>
          <w:rFonts w:ascii="Times New Roman" w:hAnsi="Times New Roman" w:cs="Times New Roman"/>
          <w:sz w:val="28"/>
          <w:szCs w:val="28"/>
        </w:rPr>
        <w:t xml:space="preserve">At the national level, the labour force participation rate was 77.3%. The considerable difference on labour force participation between rural and urban has remained about 9.8 percentage points (70.9% against with 80.7%). </w:t>
      </w:r>
      <w:r>
        <w:rPr>
          <w:rFonts w:ascii="Times New Roman" w:hAnsi="Times New Roman" w:cs="Times New Roman"/>
          <w:sz w:val="28"/>
          <w:szCs w:val="28"/>
        </w:rPr>
        <w:lastRenderedPageBreak/>
        <w:t>The labour force participation rate for females stood at 72.4%, with 9.8 percentage points lower than that for males (82.6%). Notably, the highest labour force participation rates were for two mountainous regions, including Northern Midlands and Mountains (84.6%) and Central Highlands (83.5%). Meanwhile, the lowest ones belonged to two most developed social-economic centres of Vietnam, namely Hanoi and Hochiminh city.</w:t>
      </w:r>
    </w:p>
    <w:p w:rsidR="004451CB" w:rsidRPr="00D954D5" w:rsidRDefault="004451CB">
      <w:pPr>
        <w:widowControl w:val="0"/>
        <w:overflowPunct w:val="0"/>
        <w:autoSpaceDE w:val="0"/>
        <w:autoSpaceDN w:val="0"/>
        <w:adjustRightInd w:val="0"/>
        <w:spacing w:after="0" w:line="302" w:lineRule="auto"/>
        <w:ind w:right="220"/>
        <w:jc w:val="both"/>
        <w:rPr>
          <w:rFonts w:ascii="Times New Roman" w:hAnsi="Times New Roman" w:cs="Times New Roman"/>
          <w:sz w:val="16"/>
          <w:szCs w:val="28"/>
        </w:rPr>
      </w:pPr>
    </w:p>
    <w:p w:rsidR="004451CB" w:rsidRDefault="000019EE">
      <w:pPr>
        <w:widowControl w:val="0"/>
        <w:overflowPunct w:val="0"/>
        <w:autoSpaceDE w:val="0"/>
        <w:autoSpaceDN w:val="0"/>
        <w:adjustRightInd w:val="0"/>
        <w:spacing w:after="0" w:line="302" w:lineRule="auto"/>
        <w:ind w:right="220"/>
        <w:jc w:val="both"/>
        <w:rPr>
          <w:rFonts w:ascii="Times New Roman Bold" w:hAnsi="Times New Roman Bold" w:cs="Times New Roman"/>
          <w:b/>
          <w:bCs/>
          <w:i/>
          <w:iCs/>
          <w:sz w:val="28"/>
          <w:szCs w:val="28"/>
        </w:rPr>
      </w:pPr>
      <w:r>
        <w:rPr>
          <w:rFonts w:ascii="Times New Roman Bold" w:hAnsi="Times New Roman Bold" w:cs="Times New Roman"/>
          <w:b/>
          <w:i/>
          <w:sz w:val="28"/>
          <w:szCs w:val="28"/>
        </w:rPr>
        <w:t xml:space="preserve">1.2 </w:t>
      </w:r>
      <w:r>
        <w:rPr>
          <w:rFonts w:ascii="Times New Roman Bold" w:hAnsi="Times New Roman Bold" w:cs="Times New Roman"/>
          <w:b/>
          <w:bCs/>
          <w:i/>
          <w:iCs/>
          <w:sz w:val="28"/>
          <w:szCs w:val="28"/>
        </w:rPr>
        <w:t xml:space="preserve">Age structure of labour force </w:t>
      </w:r>
    </w:p>
    <w:p w:rsidR="00D954D5" w:rsidRPr="00D954D5" w:rsidRDefault="00D954D5">
      <w:pPr>
        <w:widowControl w:val="0"/>
        <w:overflowPunct w:val="0"/>
        <w:autoSpaceDE w:val="0"/>
        <w:autoSpaceDN w:val="0"/>
        <w:adjustRightInd w:val="0"/>
        <w:spacing w:after="0"/>
        <w:ind w:right="216" w:firstLine="720"/>
        <w:jc w:val="both"/>
        <w:rPr>
          <w:rFonts w:ascii="Times New Roman" w:hAnsi="Times New Roman" w:cs="Times New Roman"/>
          <w:bCs/>
          <w:iCs/>
          <w:sz w:val="16"/>
          <w:szCs w:val="28"/>
        </w:rPr>
      </w:pPr>
    </w:p>
    <w:p w:rsidR="004451CB" w:rsidRDefault="000019EE">
      <w:pPr>
        <w:widowControl w:val="0"/>
        <w:overflowPunct w:val="0"/>
        <w:autoSpaceDE w:val="0"/>
        <w:autoSpaceDN w:val="0"/>
        <w:adjustRightInd w:val="0"/>
        <w:spacing w:after="0"/>
        <w:ind w:right="216"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The distribution of the labour force by age group reveals not only the context of demographic fact but also of social-economic situation. The labour force of Vietnam is considered as relatively young, with the considerable share of the 15-39 year old group (currently accounting for 53.1% of total labour force). </w:t>
      </w:r>
    </w:p>
    <w:p w:rsidR="004451CB" w:rsidRPr="00D954D5" w:rsidRDefault="004451CB">
      <w:pPr>
        <w:widowControl w:val="0"/>
        <w:overflowPunct w:val="0"/>
        <w:autoSpaceDE w:val="0"/>
        <w:autoSpaceDN w:val="0"/>
        <w:adjustRightInd w:val="0"/>
        <w:spacing w:after="0"/>
        <w:ind w:right="216" w:firstLine="720"/>
        <w:jc w:val="both"/>
        <w:rPr>
          <w:rFonts w:ascii="Times New Roman" w:hAnsi="Times New Roman" w:cs="Times New Roman"/>
          <w:bCs/>
          <w:iCs/>
          <w:w w:val="98"/>
          <w:sz w:val="18"/>
          <w:szCs w:val="28"/>
        </w:rPr>
      </w:pPr>
    </w:p>
    <w:p w:rsidR="004451CB" w:rsidRDefault="000019EE">
      <w:pPr>
        <w:widowControl w:val="0"/>
        <w:overflowPunct w:val="0"/>
        <w:autoSpaceDE w:val="0"/>
        <w:autoSpaceDN w:val="0"/>
        <w:adjustRightInd w:val="0"/>
        <w:spacing w:after="0" w:line="302" w:lineRule="auto"/>
        <w:jc w:val="center"/>
        <w:rPr>
          <w:rFonts w:ascii="Times New Roman Bold" w:hAnsi="Times New Roman Bold" w:cs="Times New Roman"/>
          <w:b/>
          <w:sz w:val="26"/>
          <w:szCs w:val="26"/>
        </w:rPr>
      </w:pPr>
      <w:r>
        <w:rPr>
          <w:rFonts w:ascii="Times New Roman Bold" w:hAnsi="Times New Roman Bold" w:cs="Times New Roman"/>
          <w:b/>
          <w:bCs/>
          <w:iCs/>
          <w:sz w:val="26"/>
          <w:szCs w:val="26"/>
        </w:rPr>
        <w:t>Figure 1: Percentage distribution of labour force classified by age group and urban/rural in quarter 1, 2015</w:t>
      </w:r>
    </w:p>
    <w:p w:rsidR="004451CB" w:rsidRDefault="000019EE">
      <w:r>
        <w:rPr>
          <w:noProof/>
        </w:rPr>
        <w:drawing>
          <wp:inline distT="0" distB="0" distL="0" distR="0">
            <wp:extent cx="5715000" cy="265662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451CB" w:rsidRPr="00D954D5" w:rsidRDefault="004451CB">
      <w:pPr>
        <w:widowControl w:val="0"/>
        <w:overflowPunct w:val="0"/>
        <w:autoSpaceDE w:val="0"/>
        <w:autoSpaceDN w:val="0"/>
        <w:adjustRightInd w:val="0"/>
        <w:spacing w:after="0" w:line="288" w:lineRule="auto"/>
        <w:rPr>
          <w:rFonts w:ascii="Times New Roman" w:hAnsi="Times New Roman" w:cs="Times New Roman"/>
          <w:sz w:val="2"/>
          <w:szCs w:val="28"/>
        </w:rPr>
      </w:pPr>
    </w:p>
    <w:p w:rsidR="004451CB" w:rsidRDefault="000019EE">
      <w:pPr>
        <w:widowControl w:val="0"/>
        <w:overflowPunct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There was considerable difference in age structure of the labour force between urban and rural areas (as shown in Figure 1). The shares of youth (aged 15-24) and elderly (aged 55 and above) living in urban areas were found lower than those of rural areas. In contrast, the proportion of prime working age group (aged 25-54) in urban areas was higher than that of rural areas. This pattern could reflect the fact that the urban youth has joined into the labour market more lately than the rural youth, due to their longer period of schooling. Meanwhile, the rural residents has joined earlier but stayed longer in the labour market, as a result of characteristics on rural jobs.</w:t>
      </w:r>
    </w:p>
    <w:p w:rsidR="004451CB" w:rsidRDefault="000019E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8"/>
          <w:szCs w:val="28"/>
        </w:rPr>
        <w:lastRenderedPageBreak/>
        <w:t>2. Employment</w:t>
      </w:r>
    </w:p>
    <w:p w:rsidR="00D954D5" w:rsidRDefault="00D954D5">
      <w:pPr>
        <w:widowControl w:val="0"/>
        <w:overflowPunct w:val="0"/>
        <w:autoSpaceDE w:val="0"/>
        <w:autoSpaceDN w:val="0"/>
        <w:adjustRightInd w:val="0"/>
        <w:spacing w:after="0" w:line="288" w:lineRule="auto"/>
        <w:ind w:firstLine="862"/>
        <w:jc w:val="both"/>
        <w:rPr>
          <w:rFonts w:ascii="Times New Roman" w:hAnsi="Times New Roman" w:cs="Times New Roman"/>
          <w:sz w:val="28"/>
          <w:szCs w:val="28"/>
        </w:rPr>
      </w:pPr>
      <w:bookmarkStart w:id="7" w:name="page23"/>
      <w:bookmarkEnd w:id="7"/>
    </w:p>
    <w:p w:rsidR="004451CB" w:rsidRDefault="000019EE">
      <w:pPr>
        <w:widowControl w:val="0"/>
        <w:overflowPunct w:val="0"/>
        <w:autoSpaceDE w:val="0"/>
        <w:autoSpaceDN w:val="0"/>
        <w:adjustRightInd w:val="0"/>
        <w:spacing w:after="0" w:line="288" w:lineRule="auto"/>
        <w:ind w:firstLine="862"/>
        <w:jc w:val="both"/>
        <w:rPr>
          <w:rFonts w:ascii="Times New Roman" w:hAnsi="Times New Roman" w:cs="Times New Roman"/>
          <w:sz w:val="28"/>
          <w:szCs w:val="28"/>
        </w:rPr>
      </w:pPr>
      <w:r>
        <w:rPr>
          <w:rFonts w:ascii="Times New Roman" w:hAnsi="Times New Roman" w:cs="Times New Roman"/>
          <w:sz w:val="28"/>
          <w:szCs w:val="28"/>
        </w:rPr>
        <w:t>Table 2 shows the employment proportion and the employment-to-population ratio for those people aged 15</w:t>
      </w:r>
      <w:r>
        <w:rPr>
          <w:rFonts w:ascii="Times New Roman" w:hAnsi="Times New Roman" w:cs="Times New Roman"/>
          <w:sz w:val="28"/>
          <w:szCs w:val="28"/>
          <w:vertAlign w:val="superscript"/>
        </w:rPr>
        <w:t>+</w:t>
      </w:r>
      <w:r>
        <w:rPr>
          <w:rFonts w:ascii="Times New Roman" w:hAnsi="Times New Roman" w:cs="Times New Roman"/>
          <w:sz w:val="28"/>
          <w:szCs w:val="28"/>
        </w:rPr>
        <w:t xml:space="preserve">, classified by sex and 8 sampling domains (including 6 social-economic regions and 2 biggest cities) in the first quarter of 2015. Out of 52.4 million employed labourers, 68.7% (equivalent to 36.0 million persons) was residing in rural areas and 48.2% (equivalent to 25.3 million persons) was employed females. Making a comparison among social economic regions, the Red River Delta has currently occupied the largest relevant proportion, about 21.9% of total employed population, followed by the North and South Central Coast, and Mekong River Delta (21.7% and 19.2% respectively). </w:t>
      </w:r>
    </w:p>
    <w:p w:rsidR="004451CB" w:rsidRDefault="004451CB">
      <w:pPr>
        <w:widowControl w:val="0"/>
        <w:overflowPunct w:val="0"/>
        <w:autoSpaceDE w:val="0"/>
        <w:autoSpaceDN w:val="0"/>
        <w:adjustRightInd w:val="0"/>
        <w:spacing w:after="0" w:line="288" w:lineRule="auto"/>
        <w:ind w:firstLine="862"/>
        <w:jc w:val="both"/>
        <w:rPr>
          <w:rFonts w:ascii="Times New Roman" w:hAnsi="Times New Roman" w:cs="Times New Roman"/>
          <w:sz w:val="28"/>
          <w:szCs w:val="28"/>
        </w:rPr>
      </w:pPr>
    </w:p>
    <w:p w:rsidR="004451CB" w:rsidRDefault="000019EE">
      <w:pPr>
        <w:widowControl w:val="0"/>
        <w:overflowPunct w:val="0"/>
        <w:autoSpaceDE w:val="0"/>
        <w:autoSpaceDN w:val="0"/>
        <w:adjustRightInd w:val="0"/>
        <w:spacing w:after="0" w:line="288"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Table 2: Employment proportion and employment to population ratio for those people aged 15+, classified by urban/rural and social economic regions in  </w:t>
      </w:r>
    </w:p>
    <w:p w:rsidR="004451CB" w:rsidRDefault="000019EE">
      <w:pPr>
        <w:widowControl w:val="0"/>
        <w:overflowPunct w:val="0"/>
        <w:autoSpaceDE w:val="0"/>
        <w:autoSpaceDN w:val="0"/>
        <w:adjustRightInd w:val="0"/>
        <w:spacing w:after="0" w:line="288" w:lineRule="auto"/>
        <w:jc w:val="center"/>
        <w:rPr>
          <w:rFonts w:ascii="Times New Roman" w:hAnsi="Times New Roman" w:cs="Times New Roman"/>
          <w:b/>
          <w:bCs/>
          <w:sz w:val="26"/>
          <w:szCs w:val="26"/>
        </w:rPr>
      </w:pPr>
      <w:r>
        <w:rPr>
          <w:rFonts w:ascii="Times New Roman" w:hAnsi="Times New Roman" w:cs="Times New Roman"/>
          <w:b/>
          <w:bCs/>
          <w:sz w:val="26"/>
          <w:szCs w:val="26"/>
        </w:rPr>
        <w:t>quarter 1, 2015</w:t>
      </w:r>
    </w:p>
    <w:p w:rsidR="004451CB" w:rsidRDefault="004451CB">
      <w:pPr>
        <w:widowControl w:val="0"/>
        <w:overflowPunct w:val="0"/>
        <w:autoSpaceDE w:val="0"/>
        <w:autoSpaceDN w:val="0"/>
        <w:adjustRightInd w:val="0"/>
        <w:spacing w:after="0" w:line="288" w:lineRule="auto"/>
        <w:jc w:val="center"/>
        <w:rPr>
          <w:rFonts w:ascii="Times New Roman" w:hAnsi="Times New Roman" w:cs="Times New Roman"/>
          <w:b/>
          <w:bCs/>
          <w:sz w:val="26"/>
          <w:szCs w:val="26"/>
        </w:rPr>
      </w:pPr>
    </w:p>
    <w:p w:rsidR="004451CB" w:rsidRDefault="000019EE">
      <w:pPr>
        <w:widowControl w:val="0"/>
        <w:overflowPunct w:val="0"/>
        <w:autoSpaceDE w:val="0"/>
        <w:autoSpaceDN w:val="0"/>
        <w:adjustRightInd w:val="0"/>
        <w:spacing w:after="0" w:line="288" w:lineRule="auto"/>
        <w:jc w:val="right"/>
        <w:rPr>
          <w:rFonts w:ascii="Times New Roman" w:hAnsi="Times New Roman" w:cs="Times New Roman"/>
          <w:bCs/>
          <w:i/>
          <w:sz w:val="20"/>
          <w:szCs w:val="26"/>
        </w:rPr>
      </w:pPr>
      <w:r>
        <w:rPr>
          <w:rFonts w:ascii="Times New Roman" w:hAnsi="Times New Roman" w:cs="Times New Roman"/>
          <w:bCs/>
          <w:i/>
          <w:sz w:val="20"/>
          <w:szCs w:val="26"/>
        </w:rPr>
        <w:t>Unit: %</w:t>
      </w:r>
    </w:p>
    <w:tbl>
      <w:tblPr>
        <w:tblW w:w="5000" w:type="pct"/>
        <w:tblLook w:val="04A0" w:firstRow="1" w:lastRow="0" w:firstColumn="1" w:lastColumn="0" w:noHBand="0" w:noVBand="1"/>
      </w:tblPr>
      <w:tblGrid>
        <w:gridCol w:w="3296"/>
        <w:gridCol w:w="882"/>
        <w:gridCol w:w="774"/>
        <w:gridCol w:w="895"/>
        <w:gridCol w:w="856"/>
        <w:gridCol w:w="875"/>
        <w:gridCol w:w="819"/>
        <w:gridCol w:w="927"/>
      </w:tblGrid>
      <w:tr w:rsidR="004451CB">
        <w:trPr>
          <w:trHeight w:hRule="exact" w:val="144"/>
        </w:trPr>
        <w:tc>
          <w:tcPr>
            <w:tcW w:w="17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Basic characteristic</w:t>
            </w:r>
          </w:p>
        </w:tc>
        <w:tc>
          <w:tcPr>
            <w:tcW w:w="1827"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Proportion of employed pop. </w:t>
            </w:r>
          </w:p>
        </w:tc>
        <w:tc>
          <w:tcPr>
            <w:tcW w:w="1405"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Employment to pop. ratio</w:t>
            </w:r>
          </w:p>
        </w:tc>
      </w:tr>
      <w:tr w:rsidR="004451CB">
        <w:trPr>
          <w:trHeight w:val="373"/>
        </w:trPr>
        <w:tc>
          <w:tcPr>
            <w:tcW w:w="176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rPr>
            </w:pPr>
          </w:p>
        </w:tc>
        <w:tc>
          <w:tcPr>
            <w:tcW w:w="1827" w:type="pct"/>
            <w:gridSpan w:val="4"/>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rPr>
            </w:pPr>
          </w:p>
        </w:tc>
        <w:tc>
          <w:tcPr>
            <w:tcW w:w="1405" w:type="pct"/>
            <w:gridSpan w:val="3"/>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rPr>
            </w:pPr>
          </w:p>
        </w:tc>
      </w:tr>
      <w:tr w:rsidR="004451CB">
        <w:trPr>
          <w:trHeight w:val="373"/>
        </w:trPr>
        <w:tc>
          <w:tcPr>
            <w:tcW w:w="176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rPr>
            </w:pPr>
          </w:p>
        </w:tc>
        <w:tc>
          <w:tcPr>
            <w:tcW w:w="473"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Total</w:t>
            </w:r>
          </w:p>
        </w:tc>
        <w:tc>
          <w:tcPr>
            <w:tcW w:w="415"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Male</w:t>
            </w:r>
          </w:p>
        </w:tc>
        <w:tc>
          <w:tcPr>
            <w:tcW w:w="480"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Female</w:t>
            </w:r>
          </w:p>
        </w:tc>
        <w:tc>
          <w:tcPr>
            <w:tcW w:w="459"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Female</w:t>
            </w:r>
          </w:p>
        </w:tc>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Total</w:t>
            </w:r>
          </w:p>
        </w:tc>
        <w:tc>
          <w:tcPr>
            <w:tcW w:w="439"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Male</w:t>
            </w:r>
          </w:p>
        </w:tc>
        <w:tc>
          <w:tcPr>
            <w:tcW w:w="497"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Female</w:t>
            </w:r>
          </w:p>
        </w:tc>
      </w:tr>
      <w:tr w:rsidR="004451CB">
        <w:trPr>
          <w:trHeight w:val="350"/>
        </w:trPr>
        <w:tc>
          <w:tcPr>
            <w:tcW w:w="176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73"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5"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80"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6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97"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r>
      <w:tr w:rsidR="004451CB">
        <w:trPr>
          <w:trHeight w:hRule="exact" w:val="72"/>
        </w:trPr>
        <w:tc>
          <w:tcPr>
            <w:tcW w:w="1768" w:type="pct"/>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b/>
                <w:bCs/>
                <w:color w:val="000000"/>
                <w:sz w:val="20"/>
                <w:szCs w:val="20"/>
              </w:rPr>
            </w:pPr>
          </w:p>
        </w:tc>
        <w:tc>
          <w:tcPr>
            <w:tcW w:w="473"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415" w:type="pct"/>
            <w:tcBorders>
              <w:top w:val="nil"/>
              <w:left w:val="nil"/>
              <w:bottom w:val="nil"/>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480" w:type="pct"/>
            <w:tcBorders>
              <w:top w:val="nil"/>
              <w:left w:val="nil"/>
              <w:bottom w:val="nil"/>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459" w:type="pct"/>
            <w:tcBorders>
              <w:top w:val="nil"/>
              <w:left w:val="nil"/>
              <w:bottom w:val="nil"/>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469" w:type="pct"/>
            <w:tcBorders>
              <w:top w:val="nil"/>
              <w:left w:val="nil"/>
              <w:bottom w:val="nil"/>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439" w:type="pct"/>
            <w:tcBorders>
              <w:top w:val="nil"/>
              <w:left w:val="nil"/>
              <w:bottom w:val="nil"/>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b/>
                <w:bCs/>
                <w:color w:val="000000"/>
                <w:sz w:val="20"/>
                <w:szCs w:val="20"/>
              </w:rPr>
            </w:pP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Entire country</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48.2</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75.6</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80.7</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70.8</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Urban</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31.3</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31.4</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48.3</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68.6</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74.3</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63.4</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Rural</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68.7</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68.8</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68.6</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48.1</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79.2</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83.9</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74.7</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Social-economic region</w:t>
            </w:r>
          </w:p>
        </w:tc>
        <w:tc>
          <w:tcPr>
            <w:tcW w:w="473" w:type="pct"/>
            <w:tcBorders>
              <w:top w:val="nil"/>
              <w:left w:val="nil"/>
              <w:bottom w:val="nil"/>
              <w:right w:val="nil"/>
            </w:tcBorders>
            <w:shd w:val="clear" w:color="auto" w:fill="auto"/>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15" w:type="pct"/>
            <w:tcBorders>
              <w:top w:val="nil"/>
              <w:left w:val="nil"/>
              <w:bottom w:val="nil"/>
              <w:right w:val="nil"/>
            </w:tcBorders>
            <w:shd w:val="clear" w:color="auto" w:fill="auto"/>
            <w:tcMar>
              <w:left w:w="0" w:type="dxa"/>
              <w:right w:w="173"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80" w:type="pct"/>
            <w:tcBorders>
              <w:top w:val="nil"/>
              <w:left w:val="nil"/>
              <w:bottom w:val="nil"/>
              <w:right w:val="nil"/>
            </w:tcBorders>
            <w:shd w:val="clear" w:color="auto" w:fill="auto"/>
            <w:tcMar>
              <w:left w:w="0" w:type="dxa"/>
              <w:right w:w="173"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59" w:type="pct"/>
            <w:tcBorders>
              <w:top w:val="nil"/>
              <w:left w:val="nil"/>
              <w:bottom w:val="nil"/>
              <w:right w:val="nil"/>
            </w:tcBorders>
            <w:shd w:val="clear" w:color="auto" w:fill="auto"/>
            <w:tcMar>
              <w:left w:w="0" w:type="dxa"/>
              <w:right w:w="173"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69" w:type="pct"/>
            <w:tcBorders>
              <w:top w:val="nil"/>
              <w:left w:val="nil"/>
              <w:bottom w:val="nil"/>
              <w:right w:val="nil"/>
            </w:tcBorders>
            <w:shd w:val="clear" w:color="auto" w:fill="auto"/>
            <w:tcMar>
              <w:left w:w="0" w:type="dxa"/>
              <w:right w:w="173"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39" w:type="pct"/>
            <w:tcBorders>
              <w:top w:val="nil"/>
              <w:left w:val="nil"/>
              <w:bottom w:val="nil"/>
              <w:right w:val="nil"/>
            </w:tcBorders>
            <w:shd w:val="clear" w:color="auto" w:fill="auto"/>
            <w:tcMar>
              <w:left w:w="0" w:type="dxa"/>
              <w:right w:w="173"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Northern Midlands and Mountains</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13.7</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13.3</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14.1</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49.7</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83.7</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86.0</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81.6</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Red River Delta </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21.9</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21.0</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22.9</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50.3</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72.8</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75.2</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70.5</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Of which</w:t>
            </w:r>
            <w:r>
              <w:rPr>
                <w:rFonts w:ascii="Times New Roman" w:eastAsia="Times New Roman" w:hAnsi="Times New Roman" w:cs="Times New Roman"/>
                <w:color w:val="000000"/>
                <w:sz w:val="21"/>
                <w:szCs w:val="21"/>
              </w:rPr>
              <w:t>: Hanoi city</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7.1</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7.3</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49.9</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68.7</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71.4</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66.2</w:t>
            </w:r>
          </w:p>
        </w:tc>
      </w:tr>
      <w:tr w:rsidR="004451CB">
        <w:trPr>
          <w:trHeight w:hRule="exact" w:val="432"/>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North and South Central Coast</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21.7</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21.4</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22.1</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48.9</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75.9</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79.8</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72.2</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Central Highlands</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6.3</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6.3</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6.3</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48.2</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82.6</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87.1</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78.2</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Southeast </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17.1</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17.6</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16.6</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46.8</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72.0</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79.8</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64.8</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i/>
                <w:color w:val="000000"/>
                <w:sz w:val="21"/>
                <w:szCs w:val="21"/>
              </w:rPr>
              <w:t>Of which</w:t>
            </w:r>
            <w:r>
              <w:rPr>
                <w:rFonts w:ascii="Times New Roman" w:eastAsia="Times New Roman" w:hAnsi="Times New Roman" w:cs="Times New Roman"/>
                <w:color w:val="000000"/>
                <w:sz w:val="21"/>
                <w:szCs w:val="21"/>
              </w:rPr>
              <w:t>: Hochiminh city</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8.3</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8.0</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47.3</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67.8</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76.0</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60.5</w:t>
            </w:r>
          </w:p>
        </w:tc>
      </w:tr>
      <w:tr w:rsidR="004451CB">
        <w:trPr>
          <w:trHeight w:hRule="exact" w:val="360"/>
        </w:trPr>
        <w:tc>
          <w:tcPr>
            <w:tcW w:w="1768" w:type="pct"/>
            <w:tcBorders>
              <w:top w:val="nil"/>
              <w:left w:val="single" w:sz="4" w:space="0" w:color="auto"/>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0"/>
                <w:szCs w:val="20"/>
              </w:rPr>
              <w:t>Mekong River Delta</w:t>
            </w:r>
          </w:p>
        </w:tc>
        <w:tc>
          <w:tcPr>
            <w:tcW w:w="473" w:type="pct"/>
            <w:tcBorders>
              <w:top w:val="nil"/>
              <w:left w:val="nil"/>
              <w:bottom w:val="nil"/>
              <w:right w:val="nil"/>
            </w:tcBorders>
            <w:shd w:val="clear" w:color="auto" w:fill="auto"/>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19.2</w:t>
            </w:r>
          </w:p>
        </w:tc>
        <w:tc>
          <w:tcPr>
            <w:tcW w:w="415"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20.4</w:t>
            </w:r>
          </w:p>
        </w:tc>
        <w:tc>
          <w:tcPr>
            <w:tcW w:w="480"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17.9</w:t>
            </w:r>
          </w:p>
        </w:tc>
        <w:tc>
          <w:tcPr>
            <w:tcW w:w="45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44.9</w:t>
            </w:r>
          </w:p>
        </w:tc>
        <w:tc>
          <w:tcPr>
            <w:tcW w:w="46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74.6</w:t>
            </w:r>
          </w:p>
        </w:tc>
        <w:tc>
          <w:tcPr>
            <w:tcW w:w="439" w:type="pct"/>
            <w:tcBorders>
              <w:top w:val="nil"/>
              <w:left w:val="nil"/>
              <w:bottom w:val="nil"/>
              <w:right w:val="nil"/>
            </w:tcBorders>
            <w:shd w:val="clear" w:color="auto" w:fill="auto"/>
            <w:tcMar>
              <w:left w:w="0" w:type="dxa"/>
              <w:right w:w="173"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83.5</w:t>
            </w:r>
          </w:p>
        </w:tc>
        <w:tc>
          <w:tcPr>
            <w:tcW w:w="497"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66.0</w:t>
            </w:r>
          </w:p>
        </w:tc>
      </w:tr>
      <w:tr w:rsidR="004451CB">
        <w:trPr>
          <w:trHeight w:hRule="exact" w:val="43"/>
        </w:trPr>
        <w:tc>
          <w:tcPr>
            <w:tcW w:w="1768" w:type="pct"/>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73"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15" w:type="pct"/>
            <w:tcBorders>
              <w:top w:val="nil"/>
              <w:left w:val="nil"/>
              <w:bottom w:val="single" w:sz="4" w:space="0" w:color="auto"/>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80" w:type="pct"/>
            <w:tcBorders>
              <w:top w:val="nil"/>
              <w:left w:val="nil"/>
              <w:bottom w:val="single" w:sz="4" w:space="0" w:color="auto"/>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59" w:type="pct"/>
            <w:tcBorders>
              <w:top w:val="nil"/>
              <w:left w:val="nil"/>
              <w:bottom w:val="single" w:sz="4" w:space="0" w:color="auto"/>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69" w:type="pct"/>
            <w:tcBorders>
              <w:top w:val="nil"/>
              <w:left w:val="nil"/>
              <w:bottom w:val="single" w:sz="4" w:space="0" w:color="auto"/>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39" w:type="pct"/>
            <w:tcBorders>
              <w:top w:val="nil"/>
              <w:left w:val="nil"/>
              <w:bottom w:val="single" w:sz="4" w:space="0" w:color="auto"/>
              <w:right w:val="nil"/>
            </w:tcBorders>
            <w:shd w:val="clear" w:color="auto" w:fill="auto"/>
            <w:tcMar>
              <w:left w:w="0" w:type="dxa"/>
              <w:right w:w="173"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497" w:type="pct"/>
            <w:tcBorders>
              <w:top w:val="nil"/>
              <w:left w:val="nil"/>
              <w:bottom w:val="single" w:sz="4" w:space="0" w:color="auto"/>
              <w:right w:val="single" w:sz="4" w:space="0" w:color="auto"/>
            </w:tcBorders>
            <w:shd w:val="clear" w:color="auto" w:fill="auto"/>
            <w:tcMar>
              <w:left w:w="0" w:type="dxa"/>
              <w:right w:w="216"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r>
    </w:tbl>
    <w:p w:rsidR="004451CB" w:rsidRDefault="004451CB">
      <w:pPr>
        <w:widowControl w:val="0"/>
        <w:overflowPunct w:val="0"/>
        <w:autoSpaceDE w:val="0"/>
        <w:autoSpaceDN w:val="0"/>
        <w:adjustRightInd w:val="0"/>
        <w:ind w:firstLine="720"/>
        <w:jc w:val="both"/>
        <w:rPr>
          <w:rFonts w:ascii="Times New Roman" w:hAnsi="Times New Roman" w:cs="Times New Roman"/>
          <w:bCs/>
          <w:sz w:val="28"/>
          <w:szCs w:val="28"/>
        </w:rPr>
      </w:pPr>
    </w:p>
    <w:p w:rsidR="004451CB" w:rsidRDefault="000019EE">
      <w:pPr>
        <w:widowControl w:val="0"/>
        <w:overflowPunct w:val="0"/>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bCs/>
          <w:sz w:val="28"/>
          <w:szCs w:val="28"/>
        </w:rPr>
        <w:t xml:space="preserve">In details, as of Quarter 1, </w:t>
      </w:r>
      <w:r>
        <w:rPr>
          <w:rFonts w:ascii="Times New Roman" w:hAnsi="Times New Roman" w:cs="Times New Roman"/>
          <w:sz w:val="28"/>
          <w:szCs w:val="28"/>
        </w:rPr>
        <w:t xml:space="preserve">2015, the employed population was estimated about 52.4 </w:t>
      </w:r>
      <w:r>
        <w:rPr>
          <w:rFonts w:ascii="Times New Roman" w:hAnsi="Times New Roman" w:cs="Times New Roman"/>
          <w:sz w:val="28"/>
          <w:szCs w:val="28"/>
          <w:lang w:val="vi-VN"/>
        </w:rPr>
        <w:t>million</w:t>
      </w:r>
      <w:r>
        <w:rPr>
          <w:rFonts w:ascii="Times New Roman" w:hAnsi="Times New Roman" w:cs="Times New Roman"/>
          <w:sz w:val="28"/>
          <w:szCs w:val="28"/>
        </w:rPr>
        <w:t xml:space="preserve"> people, lowering nearly 1 million people (equivalent to minus 1.9%) as compared to that of Quarter 4, 2014. Among 6 social economic </w:t>
      </w:r>
      <w:r>
        <w:rPr>
          <w:rFonts w:ascii="Times New Roman" w:hAnsi="Times New Roman" w:cs="Times New Roman"/>
          <w:sz w:val="28"/>
          <w:szCs w:val="28"/>
        </w:rPr>
        <w:lastRenderedPageBreak/>
        <w:t>regions, 5 regions had number of employed persons decreased, (ranging from 1% to 3.5% lower than that of Quarter 4, 2014. The highest employment decline was for the Northern Midlands and Mountains (-3.5%), followed by the Red River Delta (-3.3%). Particularly for the Southeast, there was an increase of employed laborers, about 2.1% higher as compared to that of Quarter 4, 2014. 84.4% of that addition was contributed by Hochiminh city.</w:t>
      </w:r>
    </w:p>
    <w:p w:rsidR="004451CB" w:rsidRDefault="004451CB">
      <w:pPr>
        <w:widowControl w:val="0"/>
        <w:overflowPunct w:val="0"/>
        <w:autoSpaceDE w:val="0"/>
        <w:autoSpaceDN w:val="0"/>
        <w:adjustRightInd w:val="0"/>
        <w:spacing w:after="0"/>
        <w:ind w:firstLine="720"/>
        <w:jc w:val="both"/>
        <w:rPr>
          <w:rFonts w:ascii="Times New Roman" w:hAnsi="Times New Roman" w:cs="Times New Roman"/>
          <w:sz w:val="24"/>
          <w:szCs w:val="24"/>
        </w:rPr>
      </w:pPr>
    </w:p>
    <w:p w:rsidR="004451CB" w:rsidRDefault="000019EE">
      <w:pPr>
        <w:widowControl w:val="0"/>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The employed-to-population ratio for those who are 15 years old and above was at 75.6% in quarter 1, 2015. Urban-rural and sex gaps on this ratio were nearly 10.7 and 9.9 percentage points, respectively. Comparing among social economic regions indicated that the highest employment-to-population ratios belonged to two mountainous regions, namely the Northern Midlands and Mountains (83.7%) and the Central Highlands (82.6%), while two most developed social- economic centres, including Hanoi city and Hochiminh city occupied the lowest ones. </w:t>
      </w:r>
      <w:bookmarkStart w:id="8" w:name="page25"/>
      <w:bookmarkEnd w:id="8"/>
    </w:p>
    <w:p w:rsidR="004451CB" w:rsidRDefault="004451CB">
      <w:pPr>
        <w:widowControl w:val="0"/>
        <w:autoSpaceDE w:val="0"/>
        <w:autoSpaceDN w:val="0"/>
        <w:adjustRightInd w:val="0"/>
        <w:spacing w:after="0"/>
        <w:ind w:firstLine="720"/>
        <w:jc w:val="both"/>
        <w:rPr>
          <w:rFonts w:ascii="Times New Roman Bold" w:hAnsi="Times New Roman Bold" w:cs="Times New Roman"/>
          <w:sz w:val="24"/>
          <w:szCs w:val="24"/>
        </w:rPr>
      </w:pPr>
    </w:p>
    <w:p w:rsidR="004451CB" w:rsidRDefault="000019EE">
      <w:pPr>
        <w:widowControl w:val="0"/>
        <w:overflowPunct w:val="0"/>
        <w:autoSpaceDE w:val="0"/>
        <w:autoSpaceDN w:val="0"/>
        <w:adjustRightInd w:val="0"/>
        <w:spacing w:after="0"/>
        <w:jc w:val="center"/>
        <w:rPr>
          <w:rFonts w:ascii="Times New Roman Bold" w:hAnsi="Times New Roman Bold" w:cs="Times New Roman"/>
          <w:b/>
          <w:bCs/>
          <w:sz w:val="26"/>
          <w:szCs w:val="26"/>
        </w:rPr>
      </w:pPr>
      <w:r>
        <w:rPr>
          <w:rFonts w:ascii="Times New Roman Bold" w:hAnsi="Times New Roman Bold" w:cs="Times New Roman"/>
          <w:b/>
          <w:bCs/>
          <w:sz w:val="26"/>
          <w:szCs w:val="26"/>
        </w:rPr>
        <w:t xml:space="preserve">Table 3: Percentage distribution of employed population </w:t>
      </w:r>
      <w:r>
        <w:rPr>
          <w:rFonts w:ascii="Times New Roman Bold" w:hAnsi="Times New Roman Bold" w:cs="Times New Roman" w:hint="eastAsia"/>
          <w:b/>
          <w:bCs/>
          <w:sz w:val="26"/>
          <w:szCs w:val="26"/>
        </w:rPr>
        <w:t>classified</w:t>
      </w:r>
      <w:r>
        <w:rPr>
          <w:rFonts w:ascii="Times New Roman Bold" w:hAnsi="Times New Roman Bold" w:cs="Times New Roman"/>
          <w:b/>
          <w:bCs/>
          <w:sz w:val="26"/>
          <w:szCs w:val="26"/>
        </w:rPr>
        <w:t xml:space="preserve"> by industrial sector and economic sector in quarter 1, 2015</w:t>
      </w:r>
    </w:p>
    <w:p w:rsidR="004451CB" w:rsidRDefault="000019EE">
      <w:pPr>
        <w:widowControl w:val="0"/>
        <w:overflowPunct w:val="0"/>
        <w:autoSpaceDE w:val="0"/>
        <w:autoSpaceDN w:val="0"/>
        <w:adjustRightInd w:val="0"/>
        <w:spacing w:after="0" w:line="288" w:lineRule="auto"/>
        <w:jc w:val="right"/>
        <w:rPr>
          <w:rFonts w:ascii="Times New Roman" w:hAnsi="Times New Roman" w:cs="Times New Roman"/>
          <w:bCs/>
          <w:i/>
          <w:sz w:val="20"/>
          <w:szCs w:val="26"/>
        </w:rPr>
      </w:pPr>
      <w:r>
        <w:rPr>
          <w:rFonts w:ascii="Times New Roman" w:hAnsi="Times New Roman" w:cs="Times New Roman"/>
          <w:bCs/>
          <w:i/>
          <w:sz w:val="20"/>
          <w:szCs w:val="26"/>
        </w:rPr>
        <w:t>Unit: %</w:t>
      </w:r>
    </w:p>
    <w:tbl>
      <w:tblPr>
        <w:tblW w:w="5000" w:type="pct"/>
        <w:tblLook w:val="04A0" w:firstRow="1" w:lastRow="0" w:firstColumn="1" w:lastColumn="0" w:noHBand="0" w:noVBand="1"/>
      </w:tblPr>
      <w:tblGrid>
        <w:gridCol w:w="3707"/>
        <w:gridCol w:w="1161"/>
        <w:gridCol w:w="1176"/>
        <w:gridCol w:w="846"/>
        <w:gridCol w:w="606"/>
        <w:gridCol w:w="597"/>
        <w:gridCol w:w="1056"/>
      </w:tblGrid>
      <w:tr w:rsidR="004451CB">
        <w:trPr>
          <w:trHeight w:val="330"/>
        </w:trPr>
        <w:tc>
          <w:tcPr>
            <w:tcW w:w="204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Basic characteristic</w:t>
            </w:r>
          </w:p>
        </w:tc>
        <w:tc>
          <w:tcPr>
            <w:tcW w:w="1727" w:type="pct"/>
            <w:gridSpan w:val="3"/>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Industrial sector</w:t>
            </w:r>
          </w:p>
        </w:tc>
        <w:tc>
          <w:tcPr>
            <w:tcW w:w="1226" w:type="pct"/>
            <w:gridSpan w:val="3"/>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Economic sector</w:t>
            </w:r>
          </w:p>
        </w:tc>
      </w:tr>
      <w:tr w:rsidR="004451CB">
        <w:trPr>
          <w:trHeight w:val="600"/>
        </w:trPr>
        <w:tc>
          <w:tcPr>
            <w:tcW w:w="204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sz w:val="20"/>
                <w:szCs w:val="20"/>
              </w:rPr>
            </w:pPr>
          </w:p>
        </w:tc>
        <w:tc>
          <w:tcPr>
            <w:tcW w:w="630"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Agriculture, forestry and fishery</w:t>
            </w:r>
          </w:p>
        </w:tc>
        <w:tc>
          <w:tcPr>
            <w:tcW w:w="638"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Industry and construction</w:t>
            </w:r>
          </w:p>
        </w:tc>
        <w:tc>
          <w:tcPr>
            <w:tcW w:w="459"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Bold" w:eastAsia="Times New Roman" w:hAnsi="Times New Roman Bold" w:cs="Times New Roman"/>
                <w:b/>
                <w:color w:val="000000"/>
                <w:sz w:val="18"/>
                <w:szCs w:val="18"/>
              </w:rPr>
            </w:pPr>
            <w:r>
              <w:rPr>
                <w:rFonts w:ascii="Times New Roman Bold" w:eastAsia="Times New Roman" w:hAnsi="Times New Roman Bold" w:cs="Times New Roman"/>
                <w:b/>
                <w:color w:val="000000"/>
                <w:sz w:val="18"/>
                <w:szCs w:val="18"/>
              </w:rPr>
              <w:t>Services</w:t>
            </w:r>
          </w:p>
        </w:tc>
        <w:tc>
          <w:tcPr>
            <w:tcW w:w="329"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State</w:t>
            </w:r>
          </w:p>
        </w:tc>
        <w:tc>
          <w:tcPr>
            <w:tcW w:w="324"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Non-state</w:t>
            </w:r>
          </w:p>
        </w:tc>
        <w:tc>
          <w:tcPr>
            <w:tcW w:w="573"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Foreign investment</w:t>
            </w:r>
          </w:p>
        </w:tc>
      </w:tr>
      <w:tr w:rsidR="004451CB">
        <w:trPr>
          <w:trHeight w:val="350"/>
        </w:trPr>
        <w:tc>
          <w:tcPr>
            <w:tcW w:w="204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0"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8"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324"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73"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r>
      <w:tr w:rsidR="004451CB">
        <w:trPr>
          <w:trHeight w:val="350"/>
        </w:trPr>
        <w:tc>
          <w:tcPr>
            <w:tcW w:w="204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0"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8"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324"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73"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r>
      <w:tr w:rsidR="004451CB">
        <w:trPr>
          <w:trHeight w:val="350"/>
        </w:trPr>
        <w:tc>
          <w:tcPr>
            <w:tcW w:w="2048"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0"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8"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324"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73"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r>
      <w:tr w:rsidR="004451CB">
        <w:trPr>
          <w:trHeight w:hRule="exact" w:val="144"/>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4451CB" w:rsidRDefault="004451CB">
            <w:pPr>
              <w:spacing w:after="0" w:line="240" w:lineRule="auto"/>
              <w:rPr>
                <w:rFonts w:ascii="Times New Roman" w:eastAsia="Times New Roman" w:hAnsi="Times New Roman" w:cs="Times New Roman"/>
                <w:b/>
                <w:bCs/>
                <w:color w:val="000000"/>
                <w:sz w:val="20"/>
                <w:szCs w:val="20"/>
              </w:rPr>
            </w:pPr>
          </w:p>
        </w:tc>
        <w:tc>
          <w:tcPr>
            <w:tcW w:w="630" w:type="pct"/>
            <w:tcBorders>
              <w:top w:val="nil"/>
              <w:left w:val="nil"/>
              <w:bottom w:val="nil"/>
              <w:right w:val="nil"/>
            </w:tcBorders>
            <w:shd w:val="clear" w:color="auto" w:fill="auto"/>
            <w:tcMar>
              <w:left w:w="0" w:type="dxa"/>
              <w:right w:w="288"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638" w:type="pct"/>
            <w:tcBorders>
              <w:top w:val="nil"/>
              <w:left w:val="nil"/>
              <w:bottom w:val="nil"/>
              <w:right w:val="nil"/>
            </w:tcBorders>
            <w:shd w:val="clear" w:color="auto" w:fill="auto"/>
            <w:tcMar>
              <w:left w:w="144" w:type="dxa"/>
              <w:right w:w="0"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459" w:type="pct"/>
            <w:tcBorders>
              <w:top w:val="nil"/>
              <w:left w:val="nil"/>
              <w:bottom w:val="nil"/>
              <w:right w:val="nil"/>
            </w:tcBorders>
            <w:shd w:val="clear" w:color="auto" w:fill="auto"/>
            <w:tcMar>
              <w:left w:w="144" w:type="dxa"/>
              <w:right w:w="0"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329" w:type="pct"/>
            <w:tcBorders>
              <w:top w:val="nil"/>
              <w:left w:val="nil"/>
              <w:bottom w:val="nil"/>
              <w:right w:val="nil"/>
            </w:tcBorders>
            <w:shd w:val="clear" w:color="auto" w:fill="auto"/>
            <w:tcMar>
              <w:left w:w="144" w:type="dxa"/>
              <w:right w:w="0"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324" w:type="pct"/>
            <w:tcBorders>
              <w:top w:val="nil"/>
              <w:left w:val="nil"/>
              <w:bottom w:val="nil"/>
              <w:right w:val="nil"/>
            </w:tcBorders>
            <w:shd w:val="clear" w:color="auto" w:fill="auto"/>
            <w:tcMar>
              <w:left w:w="0" w:type="dxa"/>
              <w:right w:w="72"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c>
          <w:tcPr>
            <w:tcW w:w="573" w:type="pct"/>
            <w:tcBorders>
              <w:top w:val="nil"/>
              <w:left w:val="nil"/>
              <w:bottom w:val="nil"/>
              <w:right w:val="single" w:sz="4" w:space="0" w:color="auto"/>
            </w:tcBorders>
            <w:shd w:val="clear" w:color="auto" w:fill="auto"/>
            <w:tcMar>
              <w:left w:w="144" w:type="dxa"/>
              <w:right w:w="0" w:type="dxa"/>
            </w:tcMar>
            <w:vAlign w:val="center"/>
            <w:hideMark/>
          </w:tcPr>
          <w:p w:rsidR="004451CB" w:rsidRDefault="004451CB">
            <w:pPr>
              <w:spacing w:after="0" w:line="240" w:lineRule="auto"/>
              <w:jc w:val="right"/>
              <w:rPr>
                <w:rFonts w:ascii="Times New Roman" w:eastAsia="Times New Roman" w:hAnsi="Times New Roman" w:cs="Times New Roman"/>
                <w:b/>
                <w:color w:val="000000"/>
                <w:sz w:val="20"/>
                <w:szCs w:val="20"/>
              </w:rPr>
            </w:pPr>
          </w:p>
        </w:tc>
      </w:tr>
      <w:tr w:rsidR="00EF40DB" w:rsidTr="00B37102">
        <w:trPr>
          <w:trHeight w:hRule="exact" w:val="82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Entire country</w:t>
            </w:r>
          </w:p>
        </w:tc>
        <w:tc>
          <w:tcPr>
            <w:tcW w:w="630" w:type="pct"/>
            <w:tcBorders>
              <w:top w:val="nil"/>
              <w:left w:val="nil"/>
              <w:bottom w:val="nil"/>
              <w:right w:val="nil"/>
            </w:tcBorders>
            <w:shd w:val="clear" w:color="auto" w:fill="auto"/>
            <w:tcMar>
              <w:left w:w="0" w:type="dxa"/>
              <w:right w:w="432" w:type="dxa"/>
            </w:tcMar>
            <w:vAlign w:val="center"/>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45.0</w:t>
            </w:r>
          </w:p>
        </w:tc>
        <w:tc>
          <w:tcPr>
            <w:tcW w:w="638" w:type="pct"/>
            <w:tcBorders>
              <w:top w:val="nil"/>
              <w:left w:val="nil"/>
              <w:bottom w:val="nil"/>
              <w:right w:val="nil"/>
            </w:tcBorders>
            <w:shd w:val="clear" w:color="auto" w:fill="auto"/>
            <w:tcMar>
              <w:left w:w="144" w:type="dxa"/>
              <w:right w:w="432" w:type="dxa"/>
            </w:tcMar>
            <w:vAlign w:val="center"/>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21.5</w:t>
            </w:r>
          </w:p>
        </w:tc>
        <w:tc>
          <w:tcPr>
            <w:tcW w:w="459" w:type="pct"/>
            <w:tcBorders>
              <w:top w:val="nil"/>
              <w:left w:val="nil"/>
              <w:bottom w:val="nil"/>
              <w:right w:val="nil"/>
            </w:tcBorders>
            <w:shd w:val="clear" w:color="auto" w:fill="auto"/>
            <w:tcMar>
              <w:left w:w="0" w:type="dxa"/>
              <w:right w:w="288" w:type="dxa"/>
            </w:tcMar>
            <w:vAlign w:val="center"/>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33.5</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10.2</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85.3</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4.5</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Urban</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25</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3</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62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2</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18.6</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75.4</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6.0</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Rural</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59</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19</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20</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4</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6.3</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89.9</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3.8</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Sex</w:t>
            </w:r>
          </w:p>
        </w:tc>
        <w:tc>
          <w:tcPr>
            <w:tcW w:w="630" w:type="pct"/>
            <w:tcBorders>
              <w:top w:val="nil"/>
              <w:left w:val="nil"/>
              <w:bottom w:val="nil"/>
              <w:right w:val="nil"/>
            </w:tcBorders>
            <w:shd w:val="clear" w:color="auto" w:fill="auto"/>
            <w:tcMar>
              <w:left w:w="0" w:type="dxa"/>
              <w:right w:w="432" w:type="dxa"/>
            </w:tcMar>
            <w:vAlign w:val="bottom"/>
            <w:hideMark/>
          </w:tcPr>
          <w:p w:rsidR="00EF40DB" w:rsidRPr="00485ACD"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p>
        </w:tc>
        <w:tc>
          <w:tcPr>
            <w:tcW w:w="638" w:type="pct"/>
            <w:tcBorders>
              <w:top w:val="nil"/>
              <w:left w:val="nil"/>
              <w:bottom w:val="nil"/>
              <w:right w:val="nil"/>
            </w:tcBorders>
            <w:shd w:val="clear" w:color="auto" w:fill="auto"/>
            <w:tcMar>
              <w:left w:w="144" w:type="dxa"/>
              <w:right w:w="432" w:type="dxa"/>
            </w:tcMar>
            <w:vAlign w:val="bottom"/>
            <w:hideMark/>
          </w:tcPr>
          <w:p w:rsidR="00EF40DB" w:rsidRPr="00485ACD"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p>
        </w:tc>
        <w:tc>
          <w:tcPr>
            <w:tcW w:w="459" w:type="pct"/>
            <w:tcBorders>
              <w:top w:val="nil"/>
              <w:left w:val="nil"/>
              <w:bottom w:val="nil"/>
              <w:right w:val="nil"/>
            </w:tcBorders>
            <w:shd w:val="clear" w:color="auto" w:fill="auto"/>
            <w:tcMar>
              <w:left w:w="0" w:type="dxa"/>
              <w:right w:w="288" w:type="dxa"/>
            </w:tcMar>
            <w:vAlign w:val="bottom"/>
            <w:hideMark/>
          </w:tcPr>
          <w:p w:rsidR="00EF40DB" w:rsidRPr="00485ACD"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Male</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43</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24</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0</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10.3</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86.9</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2.9</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46</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6</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18</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3</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35</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1</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10.1</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83.7</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6.2</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Social-economic region</w:t>
            </w:r>
          </w:p>
        </w:tc>
        <w:tc>
          <w:tcPr>
            <w:tcW w:w="630" w:type="pct"/>
            <w:tcBorders>
              <w:top w:val="nil"/>
              <w:left w:val="nil"/>
              <w:bottom w:val="nil"/>
              <w:right w:val="nil"/>
            </w:tcBorders>
            <w:shd w:val="clear" w:color="auto" w:fill="auto"/>
            <w:tcMar>
              <w:left w:w="0" w:type="dxa"/>
              <w:right w:w="432" w:type="dxa"/>
            </w:tcMar>
            <w:vAlign w:val="bottom"/>
            <w:hideMark/>
          </w:tcPr>
          <w:p w:rsidR="00EF40DB" w:rsidRPr="00485ACD"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p>
        </w:tc>
        <w:tc>
          <w:tcPr>
            <w:tcW w:w="638" w:type="pct"/>
            <w:tcBorders>
              <w:top w:val="nil"/>
              <w:left w:val="nil"/>
              <w:bottom w:val="nil"/>
              <w:right w:val="nil"/>
            </w:tcBorders>
            <w:shd w:val="clear" w:color="auto" w:fill="auto"/>
            <w:tcMar>
              <w:left w:w="144" w:type="dxa"/>
              <w:right w:w="432" w:type="dxa"/>
            </w:tcMar>
            <w:vAlign w:val="bottom"/>
            <w:hideMark/>
          </w:tcPr>
          <w:p w:rsidR="00EF40DB" w:rsidRPr="00485ACD"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p>
        </w:tc>
        <w:tc>
          <w:tcPr>
            <w:tcW w:w="459" w:type="pct"/>
            <w:tcBorders>
              <w:top w:val="nil"/>
              <w:left w:val="nil"/>
              <w:bottom w:val="nil"/>
              <w:right w:val="nil"/>
            </w:tcBorders>
            <w:shd w:val="clear" w:color="auto" w:fill="auto"/>
            <w:tcMar>
              <w:left w:w="0" w:type="dxa"/>
              <w:right w:w="288" w:type="dxa"/>
            </w:tcMar>
            <w:vAlign w:val="bottom"/>
            <w:hideMark/>
          </w:tcPr>
          <w:p w:rsidR="00EF40DB" w:rsidRPr="00485ACD"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Northern Midlands and Mountains</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68</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13</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17</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4</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9.6</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88.1</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2.3</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Red River Delta</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27</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4</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40</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1</w:t>
            </w:r>
          </w:p>
        </w:tc>
        <w:tc>
          <w:tcPr>
            <w:tcW w:w="329" w:type="pct"/>
            <w:tcBorders>
              <w:top w:val="nil"/>
              <w:left w:val="nil"/>
              <w:bottom w:val="nil"/>
              <w:right w:val="nil"/>
            </w:tcBorders>
            <w:shd w:val="clear" w:color="auto" w:fill="auto"/>
            <w:tcMar>
              <w:left w:w="0" w:type="dxa"/>
              <w:right w:w="72" w:type="dxa"/>
            </w:tcMar>
            <w:hideMark/>
          </w:tcPr>
          <w:p w:rsidR="00EF40DB" w:rsidRDefault="00EF40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13.5</w:t>
            </w:r>
          </w:p>
        </w:tc>
        <w:tc>
          <w:tcPr>
            <w:tcW w:w="324" w:type="pct"/>
            <w:tcBorders>
              <w:top w:val="nil"/>
              <w:left w:val="nil"/>
              <w:bottom w:val="nil"/>
              <w:right w:val="nil"/>
            </w:tcBorders>
            <w:shd w:val="clear" w:color="auto" w:fill="auto"/>
            <w:tcMar>
              <w:left w:w="144" w:type="dxa"/>
              <w:right w:w="0" w:type="dxa"/>
            </w:tcMar>
            <w:hideMark/>
          </w:tcPr>
          <w:p w:rsidR="00EF40DB" w:rsidRDefault="00EF40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82.1</w:t>
            </w:r>
          </w:p>
        </w:tc>
        <w:tc>
          <w:tcPr>
            <w:tcW w:w="573" w:type="pct"/>
            <w:tcBorders>
              <w:top w:val="nil"/>
              <w:left w:val="nil"/>
              <w:bottom w:val="nil"/>
              <w:right w:val="single" w:sz="4" w:space="0" w:color="auto"/>
            </w:tcBorders>
            <w:shd w:val="clear" w:color="auto" w:fill="auto"/>
            <w:tcMar>
              <w:left w:w="144" w:type="dxa"/>
              <w:right w:w="288" w:type="dxa"/>
            </w:tcMar>
            <w:hideMark/>
          </w:tcPr>
          <w:p w:rsidR="00EF40DB" w:rsidRDefault="00EF40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4.4</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Of which: Hanoi city</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18</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3</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24</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2</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57</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19.9</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77.1</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2.9</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 and South Central Coast</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52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7</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17</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3</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30</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0</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10.1</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88.2</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1.6</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Central Highland</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76</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6</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16</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7</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8.8</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90.9</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0.3</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Southeast</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13</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35</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4</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50</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8</w:t>
            </w:r>
          </w:p>
        </w:tc>
        <w:tc>
          <w:tcPr>
            <w:tcW w:w="329" w:type="pct"/>
            <w:tcBorders>
              <w:top w:val="nil"/>
              <w:left w:val="nil"/>
              <w:bottom w:val="nil"/>
              <w:right w:val="nil"/>
            </w:tcBorders>
            <w:shd w:val="clear" w:color="auto" w:fill="auto"/>
            <w:tcMar>
              <w:left w:w="0" w:type="dxa"/>
              <w:right w:w="72" w:type="dxa"/>
            </w:tcMar>
            <w:hideMark/>
          </w:tcPr>
          <w:p w:rsidR="00EF40DB" w:rsidRDefault="00EF40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10.7</w:t>
            </w:r>
          </w:p>
        </w:tc>
        <w:tc>
          <w:tcPr>
            <w:tcW w:w="324" w:type="pct"/>
            <w:tcBorders>
              <w:top w:val="nil"/>
              <w:left w:val="nil"/>
              <w:bottom w:val="nil"/>
              <w:right w:val="nil"/>
            </w:tcBorders>
            <w:shd w:val="clear" w:color="auto" w:fill="auto"/>
            <w:tcMar>
              <w:left w:w="144" w:type="dxa"/>
              <w:right w:w="0" w:type="dxa"/>
            </w:tcMar>
            <w:hideMark/>
          </w:tcPr>
          <w:p w:rsidR="00EF40DB" w:rsidRDefault="00EF40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75.3</w:t>
            </w:r>
          </w:p>
        </w:tc>
        <w:tc>
          <w:tcPr>
            <w:tcW w:w="573" w:type="pct"/>
            <w:tcBorders>
              <w:top w:val="nil"/>
              <w:left w:val="nil"/>
              <w:bottom w:val="nil"/>
              <w:right w:val="single" w:sz="4" w:space="0" w:color="auto"/>
            </w:tcBorders>
            <w:shd w:val="clear" w:color="auto" w:fill="auto"/>
            <w:tcMar>
              <w:left w:w="144" w:type="dxa"/>
              <w:right w:w="288" w:type="dxa"/>
            </w:tcMar>
            <w:hideMark/>
          </w:tcPr>
          <w:p w:rsidR="00EF40DB" w:rsidRDefault="00EF40DB">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14.1</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Of which: Hochiminh city</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3</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32</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6</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65</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1</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12.9</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81.6</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5.5</w:t>
            </w:r>
          </w:p>
        </w:tc>
      </w:tr>
      <w:tr w:rsidR="00EF40DB" w:rsidTr="006832A6">
        <w:trPr>
          <w:trHeight w:hRule="exact" w:val="230"/>
        </w:trPr>
        <w:tc>
          <w:tcPr>
            <w:tcW w:w="2048" w:type="pct"/>
            <w:tcBorders>
              <w:top w:val="nil"/>
              <w:left w:val="single" w:sz="4" w:space="0" w:color="auto"/>
              <w:bottom w:val="nil"/>
              <w:right w:val="nil"/>
            </w:tcBorders>
            <w:shd w:val="clear" w:color="auto" w:fill="auto"/>
            <w:tcMar>
              <w:left w:w="144" w:type="dxa"/>
              <w:right w:w="0" w:type="dxa"/>
            </w:tcMar>
            <w:vAlign w:val="center"/>
            <w:hideMark/>
          </w:tcPr>
          <w:p w:rsidR="00EF40DB" w:rsidRDefault="00EF40DB">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Mekong River Delta</w:t>
            </w:r>
          </w:p>
        </w:tc>
        <w:tc>
          <w:tcPr>
            <w:tcW w:w="630" w:type="pct"/>
            <w:tcBorders>
              <w:top w:val="nil"/>
              <w:left w:val="nil"/>
              <w:bottom w:val="nil"/>
              <w:right w:val="nil"/>
            </w:tcBorders>
            <w:shd w:val="clear" w:color="auto" w:fill="auto"/>
            <w:tcMar>
              <w:left w:w="0"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50</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9</w:t>
            </w:r>
          </w:p>
        </w:tc>
        <w:tc>
          <w:tcPr>
            <w:tcW w:w="638" w:type="pct"/>
            <w:tcBorders>
              <w:top w:val="nil"/>
              <w:left w:val="nil"/>
              <w:bottom w:val="nil"/>
              <w:right w:val="nil"/>
            </w:tcBorders>
            <w:shd w:val="clear" w:color="auto" w:fill="auto"/>
            <w:tcMar>
              <w:left w:w="144" w:type="dxa"/>
              <w:right w:w="432"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17</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5</w:t>
            </w:r>
          </w:p>
        </w:tc>
        <w:tc>
          <w:tcPr>
            <w:tcW w:w="459" w:type="pct"/>
            <w:tcBorders>
              <w:top w:val="nil"/>
              <w:left w:val="nil"/>
              <w:bottom w:val="nil"/>
              <w:right w:val="nil"/>
            </w:tcBorders>
            <w:shd w:val="clear" w:color="auto" w:fill="auto"/>
            <w:tcMar>
              <w:left w:w="0" w:type="dxa"/>
              <w:right w:w="288" w:type="dxa"/>
            </w:tcMar>
            <w:vAlign w:val="bottom"/>
            <w:hideMark/>
          </w:tcPr>
          <w:p w:rsidR="00EF40DB" w:rsidRDefault="00EF40DB" w:rsidP="00877D38">
            <w:pPr>
              <w:autoSpaceDE w:val="0"/>
              <w:autoSpaceDN w:val="0"/>
              <w:adjustRightInd w:val="0"/>
              <w:spacing w:after="0" w:line="240" w:lineRule="auto"/>
              <w:contextualSpacing/>
              <w:jc w:val="right"/>
              <w:rPr>
                <w:rFonts w:ascii="Times New Roman" w:hAnsi="Times New Roman" w:cs="Times New Roman"/>
                <w:color w:val="000000"/>
                <w:sz w:val="20"/>
                <w:szCs w:val="20"/>
              </w:rPr>
            </w:pPr>
            <w:r w:rsidRPr="00702542">
              <w:rPr>
                <w:rFonts w:ascii="Times New Roman" w:hAnsi="Times New Roman" w:cs="Times New Roman"/>
                <w:color w:val="000000"/>
                <w:sz w:val="20"/>
                <w:szCs w:val="20"/>
              </w:rPr>
              <w:t>31</w:t>
            </w:r>
            <w:r>
              <w:rPr>
                <w:rFonts w:ascii="Times New Roman" w:hAnsi="Times New Roman" w:cs="Times New Roman"/>
                <w:color w:val="000000"/>
                <w:sz w:val="20"/>
                <w:szCs w:val="20"/>
              </w:rPr>
              <w:t>.</w:t>
            </w:r>
            <w:r w:rsidRPr="00702542">
              <w:rPr>
                <w:rFonts w:ascii="Times New Roman" w:hAnsi="Times New Roman" w:cs="Times New Roman"/>
                <w:color w:val="000000"/>
                <w:sz w:val="20"/>
                <w:szCs w:val="20"/>
              </w:rPr>
              <w:t>6</w:t>
            </w:r>
          </w:p>
        </w:tc>
        <w:tc>
          <w:tcPr>
            <w:tcW w:w="329" w:type="pct"/>
            <w:tcBorders>
              <w:top w:val="nil"/>
              <w:left w:val="nil"/>
              <w:bottom w:val="nil"/>
              <w:right w:val="nil"/>
            </w:tcBorders>
            <w:shd w:val="clear" w:color="auto" w:fill="auto"/>
            <w:tcMar>
              <w:left w:w="0" w:type="dxa"/>
              <w:right w:w="72"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6.8</w:t>
            </w:r>
          </w:p>
        </w:tc>
        <w:tc>
          <w:tcPr>
            <w:tcW w:w="324" w:type="pct"/>
            <w:tcBorders>
              <w:top w:val="nil"/>
              <w:left w:val="nil"/>
              <w:bottom w:val="nil"/>
              <w:right w:val="nil"/>
            </w:tcBorders>
            <w:shd w:val="clear" w:color="auto" w:fill="auto"/>
            <w:tcMar>
              <w:left w:w="144" w:type="dxa"/>
              <w:right w:w="0"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91.0</w:t>
            </w:r>
          </w:p>
        </w:tc>
        <w:tc>
          <w:tcPr>
            <w:tcW w:w="573" w:type="pct"/>
            <w:tcBorders>
              <w:top w:val="nil"/>
              <w:left w:val="nil"/>
              <w:bottom w:val="nil"/>
              <w:right w:val="single" w:sz="4" w:space="0" w:color="auto"/>
            </w:tcBorders>
            <w:shd w:val="clear" w:color="auto" w:fill="auto"/>
            <w:tcMar>
              <w:left w:w="144" w:type="dxa"/>
              <w:right w:w="288" w:type="dxa"/>
            </w:tcMar>
            <w:vAlign w:val="center"/>
            <w:hideMark/>
          </w:tcPr>
          <w:p w:rsidR="00EF40DB" w:rsidRDefault="00EF40D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2.1</w:t>
            </w:r>
          </w:p>
        </w:tc>
      </w:tr>
      <w:tr w:rsidR="004451CB">
        <w:trPr>
          <w:trHeight w:hRule="exact" w:val="72"/>
        </w:trPr>
        <w:tc>
          <w:tcPr>
            <w:tcW w:w="2048" w:type="pct"/>
            <w:tcBorders>
              <w:top w:val="nil"/>
              <w:left w:val="single" w:sz="4" w:space="0" w:color="auto"/>
              <w:bottom w:val="single" w:sz="4" w:space="0" w:color="auto"/>
              <w:right w:val="nil"/>
            </w:tcBorders>
            <w:shd w:val="clear" w:color="auto" w:fill="auto"/>
            <w:tcMar>
              <w:left w:w="144" w:type="dxa"/>
              <w:right w:w="0" w:type="dxa"/>
            </w:tcMar>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630" w:type="pct"/>
            <w:tcBorders>
              <w:top w:val="nil"/>
              <w:left w:val="nil"/>
              <w:bottom w:val="single" w:sz="4" w:space="0" w:color="auto"/>
              <w:right w:val="nil"/>
            </w:tcBorders>
            <w:shd w:val="clear" w:color="auto" w:fill="auto"/>
            <w:tcMar>
              <w:left w:w="0" w:type="dxa"/>
              <w:right w:w="288" w:type="dxa"/>
            </w:tcMar>
            <w:vAlign w:val="center"/>
            <w:hideMark/>
          </w:tcPr>
          <w:p w:rsidR="004451CB" w:rsidRPr="00B37102" w:rsidRDefault="004451CB" w:rsidP="00B37102">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638" w:type="pct"/>
            <w:tcBorders>
              <w:top w:val="nil"/>
              <w:left w:val="nil"/>
              <w:bottom w:val="single" w:sz="4" w:space="0" w:color="auto"/>
              <w:right w:val="nil"/>
            </w:tcBorders>
            <w:shd w:val="clear" w:color="auto" w:fill="auto"/>
            <w:tcMar>
              <w:left w:w="144" w:type="dxa"/>
              <w:right w:w="0" w:type="dxa"/>
            </w:tcMar>
            <w:vAlign w:val="center"/>
            <w:hideMark/>
          </w:tcPr>
          <w:p w:rsidR="004451CB" w:rsidRPr="00B37102" w:rsidRDefault="004451CB" w:rsidP="00B37102">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459" w:type="pct"/>
            <w:tcBorders>
              <w:top w:val="nil"/>
              <w:left w:val="nil"/>
              <w:bottom w:val="single" w:sz="4" w:space="0" w:color="auto"/>
              <w:right w:val="nil"/>
            </w:tcBorders>
            <w:shd w:val="clear" w:color="auto" w:fill="auto"/>
            <w:tcMar>
              <w:left w:w="144" w:type="dxa"/>
              <w:right w:w="0" w:type="dxa"/>
            </w:tcMar>
            <w:vAlign w:val="center"/>
            <w:hideMark/>
          </w:tcPr>
          <w:p w:rsidR="004451CB" w:rsidRPr="00B37102" w:rsidRDefault="004451CB" w:rsidP="00B37102">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329" w:type="pct"/>
            <w:tcBorders>
              <w:top w:val="nil"/>
              <w:left w:val="nil"/>
              <w:bottom w:val="single" w:sz="4" w:space="0" w:color="auto"/>
              <w:right w:val="nil"/>
            </w:tcBorders>
            <w:shd w:val="clear" w:color="auto" w:fill="auto"/>
            <w:tcMar>
              <w:left w:w="0" w:type="dxa"/>
              <w:right w:w="288"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324" w:type="pct"/>
            <w:tcBorders>
              <w:top w:val="nil"/>
              <w:left w:val="nil"/>
              <w:bottom w:val="single" w:sz="4" w:space="0" w:color="auto"/>
              <w:right w:val="nil"/>
            </w:tcBorders>
            <w:shd w:val="clear" w:color="auto" w:fill="auto"/>
            <w:tcMar>
              <w:left w:w="144" w:type="dxa"/>
              <w:right w:w="288"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c>
          <w:tcPr>
            <w:tcW w:w="573" w:type="pct"/>
            <w:tcBorders>
              <w:top w:val="nil"/>
              <w:left w:val="nil"/>
              <w:bottom w:val="single" w:sz="4" w:space="0" w:color="auto"/>
              <w:right w:val="single" w:sz="4" w:space="0" w:color="auto"/>
            </w:tcBorders>
            <w:shd w:val="clear" w:color="auto" w:fill="auto"/>
            <w:tcMar>
              <w:left w:w="144" w:type="dxa"/>
              <w:right w:w="0" w:type="dxa"/>
            </w:tcMar>
            <w:vAlign w:val="center"/>
            <w:hideMark/>
          </w:tcPr>
          <w:p w:rsidR="004451CB" w:rsidRDefault="004451CB">
            <w:pPr>
              <w:spacing w:after="0" w:line="240" w:lineRule="auto"/>
              <w:jc w:val="right"/>
              <w:rPr>
                <w:rFonts w:ascii="Times New Roman" w:eastAsia="Times New Roman" w:hAnsi="Times New Roman" w:cs="Times New Roman"/>
                <w:color w:val="000000"/>
                <w:sz w:val="20"/>
                <w:szCs w:val="20"/>
              </w:rPr>
            </w:pPr>
          </w:p>
        </w:tc>
      </w:tr>
    </w:tbl>
    <w:p w:rsidR="004451CB" w:rsidRDefault="004451CB">
      <w:pPr>
        <w:widowControl w:val="0"/>
        <w:overflowPunct w:val="0"/>
        <w:autoSpaceDE w:val="0"/>
        <w:autoSpaceDN w:val="0"/>
        <w:adjustRightInd w:val="0"/>
        <w:spacing w:after="0" w:line="288" w:lineRule="auto"/>
        <w:ind w:left="3520" w:right="320" w:hanging="3401"/>
        <w:rPr>
          <w:rFonts w:ascii="Times New Roman Bold" w:hAnsi="Times New Roman Bold" w:cs="Times New Roman"/>
          <w:b/>
          <w:bCs/>
          <w:sz w:val="26"/>
          <w:szCs w:val="26"/>
        </w:rPr>
      </w:pPr>
    </w:p>
    <w:p w:rsidR="004451CB" w:rsidRPr="00B37102" w:rsidRDefault="00B37102" w:rsidP="00B37102">
      <w:pPr>
        <w:widowControl w:val="0"/>
        <w:overflowPunct w:val="0"/>
        <w:autoSpaceDE w:val="0"/>
        <w:autoSpaceDN w:val="0"/>
        <w:adjustRightInd w:val="0"/>
        <w:ind w:firstLine="720"/>
        <w:jc w:val="both"/>
        <w:rPr>
          <w:rFonts w:ascii="Times New Roman" w:hAnsi="Times New Roman" w:cs="Times New Roman"/>
          <w:sz w:val="28"/>
          <w:szCs w:val="28"/>
        </w:rPr>
      </w:pPr>
      <w:r w:rsidRPr="009C71A2">
        <w:rPr>
          <w:rFonts w:ascii="Times New Roman" w:hAnsi="Times New Roman" w:cs="Times New Roman"/>
          <w:color w:val="FF0000"/>
          <w:sz w:val="28"/>
          <w:szCs w:val="28"/>
        </w:rPr>
        <w:t>Table 3</w:t>
      </w:r>
      <w:r w:rsidR="000019EE" w:rsidRPr="009C71A2">
        <w:rPr>
          <w:rFonts w:ascii="Times New Roman" w:hAnsi="Times New Roman" w:cs="Times New Roman"/>
          <w:color w:val="FF0000"/>
          <w:sz w:val="28"/>
          <w:szCs w:val="28"/>
        </w:rPr>
        <w:t xml:space="preserve"> presents the</w:t>
      </w:r>
      <w:r w:rsidR="000019EE">
        <w:rPr>
          <w:rFonts w:ascii="Times New Roman" w:hAnsi="Times New Roman" w:cs="Times New Roman"/>
          <w:sz w:val="28"/>
          <w:szCs w:val="28"/>
        </w:rPr>
        <w:t xml:space="preserve"> proportion of employed population classified by industrial sector for each sampling domain. The data shows that the Southeast </w:t>
      </w:r>
      <w:r w:rsidR="000019EE">
        <w:rPr>
          <w:rFonts w:ascii="Times New Roman" w:hAnsi="Times New Roman" w:cs="Times New Roman"/>
          <w:sz w:val="28"/>
          <w:szCs w:val="28"/>
        </w:rPr>
        <w:lastRenderedPageBreak/>
        <w:t>region</w:t>
      </w:r>
      <w:r w:rsidR="00EF40DB">
        <w:rPr>
          <w:rFonts w:ascii="Times New Roman" w:hAnsi="Times New Roman" w:cs="Times New Roman"/>
          <w:sz w:val="28"/>
          <w:szCs w:val="28"/>
        </w:rPr>
        <w:t>.</w:t>
      </w:r>
      <w:r w:rsidR="000019EE">
        <w:rPr>
          <w:rFonts w:ascii="Times New Roman" w:hAnsi="Times New Roman" w:cs="Times New Roman"/>
          <w:sz w:val="28"/>
          <w:szCs w:val="28"/>
        </w:rPr>
        <w:t xml:space="preserve"> especially including Hochiminh city has the most advanced economic structure</w:t>
      </w:r>
      <w:r w:rsidR="00EF40DB">
        <w:rPr>
          <w:rFonts w:ascii="Times New Roman" w:hAnsi="Times New Roman" w:cs="Times New Roman"/>
          <w:sz w:val="28"/>
          <w:szCs w:val="28"/>
        </w:rPr>
        <w:t>.</w:t>
      </w:r>
      <w:r w:rsidR="000019EE">
        <w:rPr>
          <w:rFonts w:ascii="Times New Roman" w:hAnsi="Times New Roman" w:cs="Times New Roman"/>
          <w:sz w:val="28"/>
          <w:szCs w:val="28"/>
        </w:rPr>
        <w:t xml:space="preserve"> proportion of industrial</w:t>
      </w:r>
      <w:r w:rsidR="00EF40DB">
        <w:rPr>
          <w:rFonts w:ascii="Times New Roman" w:hAnsi="Times New Roman" w:cs="Times New Roman"/>
          <w:sz w:val="28"/>
          <w:szCs w:val="28"/>
        </w:rPr>
        <w:t>.</w:t>
      </w:r>
      <w:r w:rsidR="000019EE">
        <w:rPr>
          <w:rFonts w:ascii="Times New Roman" w:hAnsi="Times New Roman" w:cs="Times New Roman"/>
          <w:sz w:val="28"/>
          <w:szCs w:val="28"/>
        </w:rPr>
        <w:t xml:space="preserve"> constructional or service workers (about </w:t>
      </w:r>
      <w:r>
        <w:rPr>
          <w:rFonts w:ascii="Times New Roman" w:hAnsi="Times New Roman" w:cs="Times New Roman"/>
          <w:sz w:val="28"/>
          <w:szCs w:val="28"/>
        </w:rPr>
        <w:t>86</w:t>
      </w:r>
      <w:r w:rsidR="00EF40DB">
        <w:rPr>
          <w:rFonts w:ascii="Times New Roman" w:hAnsi="Times New Roman" w:cs="Times New Roman"/>
          <w:sz w:val="28"/>
          <w:szCs w:val="28"/>
        </w:rPr>
        <w:t>.</w:t>
      </w:r>
      <w:r>
        <w:rPr>
          <w:rFonts w:ascii="Times New Roman" w:hAnsi="Times New Roman" w:cs="Times New Roman"/>
          <w:sz w:val="28"/>
          <w:szCs w:val="28"/>
        </w:rPr>
        <w:t>2% and 97</w:t>
      </w:r>
      <w:r w:rsidR="00EF40DB">
        <w:rPr>
          <w:rFonts w:ascii="Times New Roman" w:hAnsi="Times New Roman" w:cs="Times New Roman"/>
          <w:sz w:val="28"/>
          <w:szCs w:val="28"/>
        </w:rPr>
        <w:t>.</w:t>
      </w:r>
      <w:r>
        <w:rPr>
          <w:rFonts w:ascii="Times New Roman" w:hAnsi="Times New Roman" w:cs="Times New Roman"/>
          <w:sz w:val="28"/>
          <w:szCs w:val="28"/>
        </w:rPr>
        <w:t xml:space="preserve">7%). </w:t>
      </w:r>
      <w:r w:rsidR="000019EE">
        <w:rPr>
          <w:rFonts w:ascii="Times New Roman" w:hAnsi="Times New Roman" w:cs="Times New Roman"/>
          <w:sz w:val="28"/>
          <w:szCs w:val="28"/>
        </w:rPr>
        <w:t>% respectively). Contrarily</w:t>
      </w:r>
      <w:r w:rsidR="00EF40DB">
        <w:rPr>
          <w:rFonts w:ascii="Times New Roman" w:hAnsi="Times New Roman" w:cs="Times New Roman"/>
          <w:sz w:val="28"/>
          <w:szCs w:val="28"/>
        </w:rPr>
        <w:t>.</w:t>
      </w:r>
      <w:r w:rsidR="000019EE">
        <w:rPr>
          <w:rFonts w:ascii="Times New Roman" w:hAnsi="Times New Roman" w:cs="Times New Roman"/>
          <w:sz w:val="28"/>
          <w:szCs w:val="28"/>
        </w:rPr>
        <w:t xml:space="preserve"> for</w:t>
      </w:r>
      <w:r w:rsidR="000019EE">
        <w:rPr>
          <w:rFonts w:ascii="Times New Roman" w:hAnsi="Times New Roman"/>
          <w:sz w:val="28"/>
          <w:szCs w:val="28"/>
          <w:lang w:val="en-GB"/>
        </w:rPr>
        <w:t xml:space="preserve"> the mountainous and coastal areas</w:t>
      </w:r>
      <w:r w:rsidR="00EF40DB">
        <w:rPr>
          <w:rFonts w:ascii="Times New Roman" w:hAnsi="Times New Roman"/>
          <w:sz w:val="28"/>
          <w:szCs w:val="28"/>
          <w:lang w:val="en-GB"/>
        </w:rPr>
        <w:t>.</w:t>
      </w:r>
      <w:r w:rsidR="000019EE">
        <w:rPr>
          <w:rFonts w:ascii="Times New Roman" w:hAnsi="Times New Roman"/>
          <w:sz w:val="28"/>
          <w:szCs w:val="28"/>
          <w:lang w:val="en-GB"/>
        </w:rPr>
        <w:t xml:space="preserve"> the proportion of employed labourers engaging into agriculture</w:t>
      </w:r>
      <w:r w:rsidR="00EF40DB">
        <w:rPr>
          <w:rFonts w:ascii="Times New Roman" w:hAnsi="Times New Roman"/>
          <w:sz w:val="28"/>
          <w:szCs w:val="28"/>
          <w:lang w:val="en-GB"/>
        </w:rPr>
        <w:t>.</w:t>
      </w:r>
      <w:r w:rsidR="000019EE">
        <w:rPr>
          <w:rFonts w:ascii="Times New Roman" w:hAnsi="Times New Roman"/>
          <w:sz w:val="28"/>
          <w:szCs w:val="28"/>
          <w:lang w:val="en-GB"/>
        </w:rPr>
        <w:t xml:space="preserve"> forestry and fishery</w:t>
      </w:r>
      <w:r w:rsidR="00EF40DB">
        <w:rPr>
          <w:rFonts w:ascii="Times New Roman" w:hAnsi="Times New Roman"/>
          <w:sz w:val="28"/>
          <w:szCs w:val="28"/>
          <w:lang w:val="en-GB"/>
        </w:rPr>
        <w:t>.</w:t>
      </w:r>
      <w:r w:rsidR="000019EE">
        <w:rPr>
          <w:rFonts w:ascii="Times New Roman" w:hAnsi="Times New Roman"/>
          <w:sz w:val="28"/>
          <w:szCs w:val="28"/>
          <w:lang w:val="en-GB"/>
        </w:rPr>
        <w:t xml:space="preserve"> has remained quite high. The Central Highlands has been regarded as the region occupying this largest proportion (about </w:t>
      </w:r>
      <w:r>
        <w:rPr>
          <w:rFonts w:ascii="Times New Roman" w:hAnsi="Times New Roman" w:cs="Times New Roman"/>
          <w:sz w:val="28"/>
          <w:szCs w:val="28"/>
        </w:rPr>
        <w:t>76</w:t>
      </w:r>
      <w:r w:rsidR="00EF40DB">
        <w:rPr>
          <w:rFonts w:ascii="Times New Roman" w:hAnsi="Times New Roman" w:cs="Times New Roman"/>
          <w:sz w:val="28"/>
          <w:szCs w:val="28"/>
        </w:rPr>
        <w:t>.</w:t>
      </w:r>
      <w:r>
        <w:rPr>
          <w:rFonts w:ascii="Times New Roman" w:hAnsi="Times New Roman" w:cs="Times New Roman"/>
          <w:sz w:val="28"/>
          <w:szCs w:val="28"/>
        </w:rPr>
        <w:t>5</w:t>
      </w:r>
      <w:r w:rsidR="000019EE">
        <w:rPr>
          <w:rFonts w:ascii="Times New Roman" w:hAnsi="Times New Roman"/>
          <w:sz w:val="28"/>
          <w:szCs w:val="28"/>
          <w:lang w:val="en-GB"/>
        </w:rPr>
        <w:t>%)</w:t>
      </w:r>
      <w:r w:rsidR="00EF40DB">
        <w:rPr>
          <w:rFonts w:ascii="Times New Roman" w:hAnsi="Times New Roman"/>
          <w:sz w:val="28"/>
          <w:szCs w:val="28"/>
          <w:lang w:val="en-GB"/>
        </w:rPr>
        <w:t>.</w:t>
      </w:r>
      <w:r w:rsidR="000019EE">
        <w:rPr>
          <w:rFonts w:ascii="Times New Roman" w:hAnsi="Times New Roman"/>
          <w:sz w:val="28"/>
          <w:szCs w:val="28"/>
          <w:lang w:val="en-GB"/>
        </w:rPr>
        <w:t xml:space="preserve"> followed by the Northern Midlands and Mountains and the North and South Central Coast (</w:t>
      </w:r>
      <w:r>
        <w:rPr>
          <w:rFonts w:ascii="Times New Roman" w:hAnsi="Times New Roman"/>
          <w:sz w:val="28"/>
          <w:szCs w:val="28"/>
          <w:lang w:val="en-GB"/>
        </w:rPr>
        <w:t>68</w:t>
      </w:r>
      <w:r w:rsidR="00EF40DB">
        <w:rPr>
          <w:rFonts w:ascii="Times New Roman" w:hAnsi="Times New Roman"/>
          <w:sz w:val="28"/>
          <w:szCs w:val="28"/>
          <w:lang w:val="en-GB"/>
        </w:rPr>
        <w:t>.</w:t>
      </w:r>
      <w:r>
        <w:rPr>
          <w:rFonts w:ascii="Times New Roman" w:hAnsi="Times New Roman"/>
          <w:sz w:val="28"/>
          <w:szCs w:val="28"/>
          <w:lang w:val="en-GB"/>
        </w:rPr>
        <w:t>8</w:t>
      </w:r>
      <w:r w:rsidR="000019EE">
        <w:rPr>
          <w:rFonts w:ascii="Times New Roman" w:hAnsi="Times New Roman"/>
          <w:sz w:val="28"/>
          <w:szCs w:val="28"/>
          <w:lang w:val="en-GB"/>
        </w:rPr>
        <w:t xml:space="preserve">% and </w:t>
      </w:r>
      <w:r>
        <w:rPr>
          <w:rFonts w:ascii="Times New Roman" w:hAnsi="Times New Roman"/>
          <w:sz w:val="28"/>
          <w:szCs w:val="28"/>
          <w:lang w:val="en-GB"/>
        </w:rPr>
        <w:t>52</w:t>
      </w:r>
      <w:r w:rsidR="00EF40DB">
        <w:rPr>
          <w:rFonts w:ascii="Times New Roman" w:hAnsi="Times New Roman"/>
          <w:sz w:val="28"/>
          <w:szCs w:val="28"/>
          <w:lang w:val="en-GB"/>
        </w:rPr>
        <w:t>.</w:t>
      </w:r>
      <w:r>
        <w:rPr>
          <w:rFonts w:ascii="Times New Roman" w:hAnsi="Times New Roman"/>
          <w:sz w:val="28"/>
          <w:szCs w:val="28"/>
          <w:lang w:val="en-GB"/>
        </w:rPr>
        <w:t>7</w:t>
      </w:r>
      <w:r w:rsidR="000019EE">
        <w:rPr>
          <w:rFonts w:ascii="Times New Roman" w:hAnsi="Times New Roman"/>
          <w:sz w:val="28"/>
          <w:szCs w:val="28"/>
          <w:lang w:val="en-GB"/>
        </w:rPr>
        <w:t>%</w:t>
      </w:r>
      <w:r w:rsidR="00EF40DB">
        <w:rPr>
          <w:rFonts w:ascii="Times New Roman" w:hAnsi="Times New Roman"/>
          <w:sz w:val="28"/>
          <w:szCs w:val="28"/>
          <w:lang w:val="en-GB"/>
        </w:rPr>
        <w:t>.</w:t>
      </w:r>
      <w:r w:rsidR="000019EE">
        <w:rPr>
          <w:rFonts w:ascii="Times New Roman" w:hAnsi="Times New Roman"/>
          <w:sz w:val="28"/>
          <w:szCs w:val="28"/>
          <w:lang w:val="en-GB"/>
        </w:rPr>
        <w:t xml:space="preserve"> respectively).</w:t>
      </w:r>
    </w:p>
    <w:p w:rsidR="004451CB" w:rsidRDefault="000019EE">
      <w:pPr>
        <w:widowControl w:val="0"/>
        <w:autoSpaceDE w:val="0"/>
        <w:autoSpaceDN w:val="0"/>
        <w:adjustRightInd w:val="0"/>
        <w:rPr>
          <w:rFonts w:ascii="Times New Roman Bold" w:hAnsi="Times New Roman Bold" w:cs="Times New Roman"/>
          <w:sz w:val="26"/>
          <w:szCs w:val="26"/>
        </w:rPr>
      </w:pPr>
      <w:r>
        <w:rPr>
          <w:rFonts w:ascii="Times New Roman Bold" w:hAnsi="Times New Roman Bold" w:cs="Times New Roman"/>
          <w:b/>
          <w:bCs/>
          <w:iCs/>
          <w:sz w:val="26"/>
          <w:szCs w:val="26"/>
        </w:rPr>
        <w:t>3. Underemployment and unemployment</w:t>
      </w:r>
    </w:p>
    <w:p w:rsidR="004451CB" w:rsidRDefault="000019EE">
      <w:pPr>
        <w:widowControl w:val="0"/>
        <w:autoSpaceDE w:val="0"/>
        <w:autoSpaceDN w:val="0"/>
        <w:adjustRightInd w:val="0"/>
        <w:rPr>
          <w:rFonts w:ascii="Times New Roman Bold" w:hAnsi="Times New Roman Bold" w:cs="Times New Roman"/>
          <w:sz w:val="26"/>
          <w:szCs w:val="26"/>
        </w:rPr>
      </w:pPr>
      <w:r>
        <w:rPr>
          <w:rFonts w:ascii="Times New Roman Bold" w:hAnsi="Times New Roman Bold" w:cs="Times New Roman"/>
          <w:b/>
          <w:bCs/>
          <w:i/>
          <w:iCs/>
          <w:sz w:val="26"/>
          <w:szCs w:val="26"/>
        </w:rPr>
        <w:t>3.1 Underemployed and unemployed labourers</w:t>
      </w:r>
    </w:p>
    <w:p w:rsidR="004451CB" w:rsidRDefault="000019EE">
      <w:pPr>
        <w:widowControl w:val="0"/>
        <w:overflowPunct w:val="0"/>
        <w:autoSpaceDE w:val="0"/>
        <w:autoSpaceDN w:val="0"/>
        <w:adjustRightInd w:val="0"/>
        <w:spacing w:after="120"/>
        <w:ind w:firstLine="720"/>
        <w:jc w:val="both"/>
        <w:rPr>
          <w:rFonts w:ascii="Times New Roman" w:hAnsi="Times New Roman" w:cs="Times New Roman"/>
          <w:sz w:val="28"/>
          <w:szCs w:val="28"/>
        </w:rPr>
      </w:pPr>
      <w:r>
        <w:rPr>
          <w:rFonts w:ascii="Times New Roman" w:hAnsi="Times New Roman"/>
          <w:sz w:val="28"/>
          <w:szCs w:val="28"/>
        </w:rPr>
        <w:t>As of Quarter 1</w:t>
      </w:r>
      <w:r w:rsidR="00EF40DB">
        <w:rPr>
          <w:rFonts w:ascii="Times New Roman" w:hAnsi="Times New Roman"/>
          <w:sz w:val="28"/>
          <w:szCs w:val="28"/>
        </w:rPr>
        <w:t>.</w:t>
      </w:r>
      <w:r>
        <w:rPr>
          <w:rFonts w:ascii="Times New Roman" w:hAnsi="Times New Roman"/>
          <w:sz w:val="28"/>
          <w:szCs w:val="28"/>
        </w:rPr>
        <w:t xml:space="preserve"> 2015</w:t>
      </w:r>
      <w:r w:rsidR="00EF40DB">
        <w:rPr>
          <w:rFonts w:ascii="Times New Roman" w:hAnsi="Times New Roman"/>
          <w:sz w:val="28"/>
          <w:szCs w:val="28"/>
        </w:rPr>
        <w:t>.</w:t>
      </w:r>
      <w:r>
        <w:rPr>
          <w:rFonts w:ascii="Times New Roman" w:hAnsi="Times New Roman"/>
          <w:sz w:val="28"/>
          <w:szCs w:val="28"/>
        </w:rPr>
        <w:t xml:space="preserve"> the labour force aged 15 and above was constituted by more than 1.2 million underemployed labourers and a nearly similar number of unemployed labourers</w:t>
      </w:r>
      <w:r>
        <w:rPr>
          <w:rFonts w:ascii="Times New Roman" w:hAnsi="Times New Roman" w:cs="Times New Roman"/>
          <w:sz w:val="28"/>
          <w:szCs w:val="28"/>
        </w:rPr>
        <w:t>. As compared to Quarter 4</w:t>
      </w:r>
      <w:r w:rsidR="00EF40DB">
        <w:rPr>
          <w:rFonts w:ascii="Times New Roman" w:hAnsi="Times New Roman" w:cs="Times New Roman"/>
          <w:sz w:val="28"/>
          <w:szCs w:val="28"/>
        </w:rPr>
        <w:t>.</w:t>
      </w:r>
      <w:r>
        <w:rPr>
          <w:rFonts w:ascii="Times New Roman" w:hAnsi="Times New Roman" w:cs="Times New Roman"/>
          <w:sz w:val="28"/>
          <w:szCs w:val="28"/>
        </w:rPr>
        <w:t xml:space="preserve"> 2014</w:t>
      </w:r>
      <w:r w:rsidR="00EF40DB">
        <w:rPr>
          <w:rFonts w:ascii="Times New Roman" w:hAnsi="Times New Roman" w:cs="Times New Roman"/>
          <w:sz w:val="28"/>
          <w:szCs w:val="28"/>
        </w:rPr>
        <w:t>.</w:t>
      </w:r>
      <w:r>
        <w:rPr>
          <w:rFonts w:ascii="Times New Roman" w:hAnsi="Times New Roman" w:cs="Times New Roman"/>
          <w:sz w:val="28"/>
          <w:szCs w:val="28"/>
        </w:rPr>
        <w:t xml:space="preserve"> the underemployed population increased slightly with the addition of 32 thousand persons and particularly</w:t>
      </w:r>
      <w:r w:rsidR="00EF40DB">
        <w:rPr>
          <w:rFonts w:ascii="Times New Roman" w:hAnsi="Times New Roman" w:cs="Times New Roman"/>
          <w:sz w:val="28"/>
          <w:szCs w:val="28"/>
        </w:rPr>
        <w:t>.</w:t>
      </w:r>
      <w:r>
        <w:rPr>
          <w:rFonts w:ascii="Times New Roman" w:hAnsi="Times New Roman" w:cs="Times New Roman"/>
          <w:sz w:val="28"/>
          <w:szCs w:val="28"/>
        </w:rPr>
        <w:t xml:space="preserve"> about 230.6 thousand new unemployed persons were added. The underemployment has been considered as more popular in rural areas. At present</w:t>
      </w:r>
      <w:r w:rsidR="00EF40DB">
        <w:rPr>
          <w:rFonts w:ascii="Times New Roman" w:hAnsi="Times New Roman" w:cs="Times New Roman"/>
          <w:sz w:val="28"/>
          <w:szCs w:val="28"/>
        </w:rPr>
        <w:t>.</w:t>
      </w:r>
      <w:r>
        <w:rPr>
          <w:rFonts w:ascii="Times New Roman" w:hAnsi="Times New Roman" w:cs="Times New Roman"/>
          <w:sz w:val="28"/>
          <w:szCs w:val="28"/>
        </w:rPr>
        <w:t xml:space="preserve"> about 84.7% of total underemployed population was residing in rural areas. Besides</w:t>
      </w:r>
      <w:r w:rsidR="00EF40DB">
        <w:rPr>
          <w:rFonts w:ascii="Times New Roman" w:hAnsi="Times New Roman" w:cs="Times New Roman"/>
          <w:sz w:val="28"/>
          <w:szCs w:val="28"/>
        </w:rPr>
        <w:t>.</w:t>
      </w:r>
      <w:r>
        <w:rPr>
          <w:rFonts w:ascii="Times New Roman" w:hAnsi="Times New Roman" w:cs="Times New Roman"/>
          <w:sz w:val="28"/>
          <w:szCs w:val="28"/>
        </w:rPr>
        <w:t xml:space="preserve"> the share of underemployed males was found higher than that of females (54.1% as compared to 45.9% of total underemployed population). On the other hand</w:t>
      </w:r>
      <w:r w:rsidR="00EF40DB">
        <w:rPr>
          <w:rFonts w:ascii="Times New Roman" w:hAnsi="Times New Roman" w:cs="Times New Roman"/>
          <w:sz w:val="28"/>
          <w:szCs w:val="28"/>
        </w:rPr>
        <w:t>.</w:t>
      </w:r>
      <w:r>
        <w:rPr>
          <w:rFonts w:ascii="Times New Roman" w:hAnsi="Times New Roman" w:cs="Times New Roman"/>
          <w:sz w:val="28"/>
          <w:szCs w:val="28"/>
        </w:rPr>
        <w:t xml:space="preserve"> the unemployment in urban areas should be concerned more even that the proportion of urban unemployed population was found lower</w:t>
      </w:r>
      <w:r w:rsidR="00EF40DB">
        <w:rPr>
          <w:rFonts w:ascii="Times New Roman" w:hAnsi="Times New Roman" w:cs="Times New Roman"/>
          <w:sz w:val="28"/>
          <w:szCs w:val="28"/>
        </w:rPr>
        <w:t>.</w:t>
      </w:r>
      <w:r>
        <w:rPr>
          <w:rFonts w:ascii="Times New Roman" w:hAnsi="Times New Roman" w:cs="Times New Roman"/>
          <w:sz w:val="28"/>
          <w:szCs w:val="28"/>
        </w:rPr>
        <w:t xml:space="preserve"> just accounting for 45.5% of total unemployed population (see part 3.2 – unemployment and underemployment rates for more reference). Moreover</w:t>
      </w:r>
      <w:r w:rsidR="00EF40DB">
        <w:rPr>
          <w:rFonts w:ascii="Times New Roman" w:hAnsi="Times New Roman" w:cs="Times New Roman"/>
          <w:sz w:val="28"/>
          <w:szCs w:val="28"/>
        </w:rPr>
        <w:t>.</w:t>
      </w:r>
      <w:r>
        <w:rPr>
          <w:rFonts w:ascii="Times New Roman" w:hAnsi="Times New Roman" w:cs="Times New Roman"/>
          <w:sz w:val="28"/>
          <w:szCs w:val="28"/>
        </w:rPr>
        <w:t xml:space="preserve"> the data of Quarter 1</w:t>
      </w:r>
      <w:r w:rsidR="00EF40DB">
        <w:rPr>
          <w:rFonts w:ascii="Times New Roman" w:hAnsi="Times New Roman" w:cs="Times New Roman"/>
          <w:sz w:val="28"/>
          <w:szCs w:val="28"/>
        </w:rPr>
        <w:t>.</w:t>
      </w:r>
      <w:r>
        <w:rPr>
          <w:rFonts w:ascii="Times New Roman" w:hAnsi="Times New Roman" w:cs="Times New Roman"/>
          <w:sz w:val="28"/>
          <w:szCs w:val="28"/>
        </w:rPr>
        <w:t xml:space="preserve"> 2015 also shows that unemployed males were more crowded than females (accounting for 53.0% verse 47.0% of total unemployed population).</w:t>
      </w:r>
    </w:p>
    <w:p w:rsidR="004451CB" w:rsidRDefault="004451CB">
      <w:pPr>
        <w:widowControl w:val="0"/>
        <w:overflowPunct w:val="0"/>
        <w:autoSpaceDE w:val="0"/>
        <w:autoSpaceDN w:val="0"/>
        <w:adjustRightInd w:val="0"/>
        <w:spacing w:after="0"/>
        <w:ind w:firstLine="720"/>
        <w:jc w:val="both"/>
        <w:rPr>
          <w:rFonts w:ascii="Times New Roman" w:hAnsi="Times New Roman" w:cs="Times New Roman"/>
          <w:sz w:val="28"/>
          <w:szCs w:val="28"/>
        </w:rPr>
      </w:pPr>
    </w:p>
    <w:p w:rsidR="004451CB" w:rsidRDefault="000019EE">
      <w:pPr>
        <w:widowControl w:val="0"/>
        <w:overflowPunct w:val="0"/>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Observing the unemployment by the technical/qualification attainment reveals that in Quarter 1 2015</w:t>
      </w:r>
      <w:r w:rsidR="00EF40DB">
        <w:rPr>
          <w:rFonts w:ascii="Times New Roman" w:hAnsi="Times New Roman" w:cs="Times New Roman"/>
          <w:sz w:val="28"/>
          <w:szCs w:val="28"/>
        </w:rPr>
        <w:t>.</w:t>
      </w:r>
      <w:r>
        <w:rPr>
          <w:rFonts w:ascii="Times New Roman" w:hAnsi="Times New Roman" w:cs="Times New Roman"/>
          <w:sz w:val="28"/>
          <w:szCs w:val="28"/>
        </w:rPr>
        <w:t xml:space="preserve"> more than one third of unemployed population have undergone technical/qualification training from 3 months or more. Among this group</w:t>
      </w:r>
      <w:r w:rsidR="00EF40DB">
        <w:rPr>
          <w:rFonts w:ascii="Times New Roman" w:hAnsi="Times New Roman" w:cs="Times New Roman"/>
          <w:sz w:val="28"/>
          <w:szCs w:val="28"/>
        </w:rPr>
        <w:t>.</w:t>
      </w:r>
      <w:r>
        <w:rPr>
          <w:rFonts w:ascii="Times New Roman" w:hAnsi="Times New Roman" w:cs="Times New Roman"/>
          <w:sz w:val="28"/>
          <w:szCs w:val="28"/>
        </w:rPr>
        <w:t xml:space="preserve"> those unemployed laborers</w:t>
      </w:r>
      <w:r w:rsidR="00EF40DB">
        <w:rPr>
          <w:rFonts w:ascii="Times New Roman" w:hAnsi="Times New Roman" w:cs="Times New Roman"/>
          <w:sz w:val="28"/>
          <w:szCs w:val="28"/>
        </w:rPr>
        <w:t>.</w:t>
      </w:r>
      <w:r>
        <w:rPr>
          <w:rFonts w:ascii="Times New Roman" w:hAnsi="Times New Roman" w:cs="Times New Roman"/>
          <w:sz w:val="28"/>
          <w:szCs w:val="28"/>
        </w:rPr>
        <w:t xml:space="preserve"> who have graduated from universities or above</w:t>
      </w:r>
      <w:r w:rsidR="00EF40DB">
        <w:rPr>
          <w:rFonts w:ascii="Times New Roman" w:hAnsi="Times New Roman" w:cs="Times New Roman"/>
          <w:sz w:val="28"/>
          <w:szCs w:val="28"/>
        </w:rPr>
        <w:t>.</w:t>
      </w:r>
      <w:r>
        <w:rPr>
          <w:rFonts w:ascii="Times New Roman" w:hAnsi="Times New Roman" w:cs="Times New Roman"/>
          <w:sz w:val="28"/>
          <w:szCs w:val="28"/>
        </w:rPr>
        <w:t xml:space="preserve"> occupied the largest share (about 41.0%).</w:t>
      </w:r>
    </w:p>
    <w:p w:rsidR="00B37102" w:rsidRDefault="00B37102">
      <w:pPr>
        <w:widowControl w:val="0"/>
        <w:overflowPunct w:val="0"/>
        <w:autoSpaceDE w:val="0"/>
        <w:autoSpaceDN w:val="0"/>
        <w:adjustRightInd w:val="0"/>
        <w:spacing w:after="0"/>
        <w:ind w:firstLine="720"/>
        <w:jc w:val="both"/>
        <w:rPr>
          <w:rFonts w:ascii="Times New Roman" w:hAnsi="Times New Roman" w:cs="Times New Roman"/>
          <w:sz w:val="28"/>
          <w:szCs w:val="28"/>
        </w:rPr>
      </w:pPr>
    </w:p>
    <w:p w:rsidR="00B37102" w:rsidRDefault="00B37102">
      <w:pPr>
        <w:widowControl w:val="0"/>
        <w:overflowPunct w:val="0"/>
        <w:autoSpaceDE w:val="0"/>
        <w:autoSpaceDN w:val="0"/>
        <w:adjustRightInd w:val="0"/>
        <w:spacing w:after="0"/>
        <w:ind w:firstLine="720"/>
        <w:jc w:val="both"/>
        <w:rPr>
          <w:rFonts w:ascii="Times New Roman" w:hAnsi="Times New Roman" w:cs="Times New Roman"/>
          <w:sz w:val="28"/>
          <w:szCs w:val="28"/>
        </w:rPr>
      </w:pPr>
    </w:p>
    <w:p w:rsidR="00B37102" w:rsidRDefault="00B37102">
      <w:pPr>
        <w:widowControl w:val="0"/>
        <w:overflowPunct w:val="0"/>
        <w:autoSpaceDE w:val="0"/>
        <w:autoSpaceDN w:val="0"/>
        <w:adjustRightInd w:val="0"/>
        <w:spacing w:after="0"/>
        <w:ind w:firstLine="720"/>
        <w:jc w:val="both"/>
        <w:rPr>
          <w:rFonts w:ascii="Times New Roman" w:hAnsi="Times New Roman" w:cs="Times New Roman"/>
          <w:sz w:val="28"/>
          <w:szCs w:val="28"/>
        </w:rPr>
      </w:pPr>
    </w:p>
    <w:p w:rsidR="004451CB" w:rsidRDefault="004451CB">
      <w:pPr>
        <w:widowControl w:val="0"/>
        <w:overflowPunct w:val="0"/>
        <w:autoSpaceDE w:val="0"/>
        <w:autoSpaceDN w:val="0"/>
        <w:adjustRightInd w:val="0"/>
        <w:spacing w:after="0"/>
        <w:ind w:firstLine="720"/>
        <w:jc w:val="both"/>
        <w:rPr>
          <w:rFonts w:ascii="Times New Roman" w:hAnsi="Times New Roman" w:cs="Times New Roman"/>
          <w:sz w:val="28"/>
          <w:szCs w:val="28"/>
        </w:rPr>
      </w:pPr>
    </w:p>
    <w:p w:rsidR="004451CB" w:rsidRDefault="000019EE">
      <w:pPr>
        <w:widowControl w:val="0"/>
        <w:overflowPunct w:val="0"/>
        <w:autoSpaceDE w:val="0"/>
        <w:autoSpaceDN w:val="0"/>
        <w:adjustRightInd w:val="0"/>
        <w:spacing w:before="120" w:after="0"/>
        <w:jc w:val="center"/>
        <w:rPr>
          <w:rFonts w:ascii="Times New Roman Bold" w:hAnsi="Times New Roman Bold" w:cs="Times New Roman"/>
          <w:b/>
          <w:bCs/>
          <w:sz w:val="24"/>
          <w:szCs w:val="24"/>
        </w:rPr>
      </w:pPr>
      <w:r>
        <w:rPr>
          <w:rFonts w:ascii="Times New Roman Bold" w:hAnsi="Times New Roman Bold" w:cs="Times New Roman"/>
          <w:b/>
          <w:bCs/>
          <w:sz w:val="24"/>
          <w:szCs w:val="24"/>
        </w:rPr>
        <w:lastRenderedPageBreak/>
        <w:t>Figure 3: Percentage distribution of unemployed population aged 15+ and unemployed youth who have undergone technical/qualification training from 3 months or more</w:t>
      </w:r>
      <w:r w:rsidR="00EF40DB">
        <w:rPr>
          <w:rFonts w:ascii="Times New Roman Bold" w:hAnsi="Times New Roman Bold" w:cs="Times New Roman"/>
          <w:b/>
          <w:bCs/>
          <w:sz w:val="24"/>
          <w:szCs w:val="24"/>
        </w:rPr>
        <w:t>.</w:t>
      </w:r>
      <w:r>
        <w:rPr>
          <w:rFonts w:ascii="Times New Roman Bold" w:hAnsi="Times New Roman Bold" w:cs="Times New Roman"/>
          <w:b/>
          <w:bCs/>
          <w:sz w:val="24"/>
          <w:szCs w:val="24"/>
        </w:rPr>
        <w:t xml:space="preserve"> classified by levels of training in quarter 1</w:t>
      </w:r>
      <w:r w:rsidR="00EF40DB">
        <w:rPr>
          <w:rFonts w:ascii="Times New Roman Bold" w:hAnsi="Times New Roman Bold" w:cs="Times New Roman"/>
          <w:b/>
          <w:bCs/>
          <w:sz w:val="24"/>
          <w:szCs w:val="24"/>
        </w:rPr>
        <w:t>.</w:t>
      </w:r>
      <w:r>
        <w:rPr>
          <w:rFonts w:ascii="Times New Roman Bold" w:hAnsi="Times New Roman Bold" w:cs="Times New Roman"/>
          <w:b/>
          <w:bCs/>
          <w:sz w:val="24"/>
          <w:szCs w:val="24"/>
        </w:rPr>
        <w:t xml:space="preserve"> 2015</w:t>
      </w:r>
    </w:p>
    <w:p w:rsidR="009C71A2" w:rsidRDefault="009C71A2">
      <w:pPr>
        <w:widowControl w:val="0"/>
        <w:overflowPunct w:val="0"/>
        <w:autoSpaceDE w:val="0"/>
        <w:autoSpaceDN w:val="0"/>
        <w:adjustRightInd w:val="0"/>
        <w:spacing w:before="120" w:after="0"/>
        <w:jc w:val="center"/>
        <w:rPr>
          <w:rFonts w:ascii="Times New Roman Bold" w:hAnsi="Times New Roman Bold" w:cs="Times New Roman"/>
          <w:b/>
          <w:bCs/>
          <w:sz w:val="24"/>
          <w:szCs w:val="24"/>
        </w:rPr>
      </w:pPr>
    </w:p>
    <w:p w:rsidR="004451CB" w:rsidRDefault="000019EE">
      <w:pPr>
        <w:widowControl w:val="0"/>
        <w:overflowPunct w:val="0"/>
        <w:autoSpaceDE w:val="0"/>
        <w:autoSpaceDN w:val="0"/>
        <w:adjustRightInd w:val="0"/>
        <w:ind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572000" cy="2782956"/>
            <wp:effectExtent l="0" t="0" r="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451CB" w:rsidRDefault="000019EE">
      <w:pPr>
        <w:widowControl w:val="0"/>
        <w:overflowPunct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Youth is considered as one labour group most vulnerable to the fluctuations in labour market. Thus</w:t>
      </w:r>
      <w:r w:rsidR="00EF40DB">
        <w:rPr>
          <w:rFonts w:ascii="Times New Roman" w:hAnsi="Times New Roman" w:cs="Times New Roman"/>
          <w:sz w:val="28"/>
          <w:szCs w:val="28"/>
        </w:rPr>
        <w:t>.</w:t>
      </w:r>
      <w:r>
        <w:rPr>
          <w:rFonts w:ascii="Times New Roman" w:hAnsi="Times New Roman" w:cs="Times New Roman"/>
          <w:sz w:val="28"/>
          <w:szCs w:val="28"/>
        </w:rPr>
        <w:t xml:space="preserve"> youth’s unemployment has become important issue that should be paid attention in the society. In quarter 1</w:t>
      </w:r>
      <w:r w:rsidR="00EF40DB">
        <w:rPr>
          <w:rFonts w:ascii="Times New Roman" w:hAnsi="Times New Roman" w:cs="Times New Roman"/>
          <w:sz w:val="28"/>
          <w:szCs w:val="28"/>
        </w:rPr>
        <w:t>.</w:t>
      </w:r>
      <w:r>
        <w:rPr>
          <w:rFonts w:ascii="Times New Roman" w:hAnsi="Times New Roman" w:cs="Times New Roman"/>
          <w:sz w:val="28"/>
          <w:szCs w:val="28"/>
        </w:rPr>
        <w:t xml:space="preserve"> 2015 the unemployed youth aged from 15-24 accounted for 48.2% of total unemployed population throughout the country. Remarkably</w:t>
      </w:r>
      <w:r w:rsidR="00EF40DB">
        <w:rPr>
          <w:rFonts w:ascii="Times New Roman" w:hAnsi="Times New Roman" w:cs="Times New Roman"/>
          <w:sz w:val="28"/>
          <w:szCs w:val="28"/>
        </w:rPr>
        <w:t>.</w:t>
      </w:r>
      <w:r>
        <w:rPr>
          <w:rFonts w:ascii="Times New Roman" w:hAnsi="Times New Roman" w:cs="Times New Roman"/>
          <w:sz w:val="28"/>
          <w:szCs w:val="28"/>
        </w:rPr>
        <w:t xml:space="preserve"> the share of unemployed youth residing in urban areas was found lower than that of rural areas (accounting for 44.9% against with 55.1% of total unemployed </w:t>
      </w:r>
      <w:r>
        <w:rPr>
          <w:rFonts w:ascii="Times New Roman" w:hAnsi="Times New Roman" w:cs="Times New Roman"/>
          <w:sz w:val="28"/>
          <w:szCs w:val="28"/>
          <w:lang w:val="vi-VN"/>
        </w:rPr>
        <w:t>population</w:t>
      </w:r>
      <w:r>
        <w:rPr>
          <w:rFonts w:ascii="Times New Roman" w:hAnsi="Times New Roman" w:cs="Times New Roman"/>
          <w:sz w:val="28"/>
          <w:szCs w:val="28"/>
        </w:rPr>
        <w:t>)</w:t>
      </w:r>
      <w:r w:rsidR="00EF40DB">
        <w:rPr>
          <w:rFonts w:ascii="Times New Roman" w:hAnsi="Times New Roman" w:cs="Times New Roman"/>
          <w:sz w:val="28"/>
          <w:szCs w:val="28"/>
        </w:rPr>
        <w:t>.</w:t>
      </w:r>
      <w:r>
        <w:rPr>
          <w:rFonts w:ascii="Times New Roman" w:hAnsi="Times New Roman" w:cs="Times New Roman"/>
          <w:sz w:val="28"/>
          <w:szCs w:val="28"/>
        </w:rPr>
        <w:t xml:space="preserve"> as a result of more educational opportunities given by urban areas. In term of technical/qualification attainment</w:t>
      </w:r>
      <w:r w:rsidR="00EF40DB">
        <w:rPr>
          <w:rFonts w:ascii="Times New Roman" w:hAnsi="Times New Roman" w:cs="Times New Roman"/>
          <w:sz w:val="28"/>
          <w:szCs w:val="28"/>
        </w:rPr>
        <w:t>.</w:t>
      </w:r>
      <w:r>
        <w:rPr>
          <w:rFonts w:ascii="Times New Roman" w:hAnsi="Times New Roman" w:cs="Times New Roman"/>
          <w:sz w:val="28"/>
          <w:szCs w:val="28"/>
        </w:rPr>
        <w:t xml:space="preserve"> about 60.7% of total unemployed laborers who have undergone technical/qualification training from 3 months or more (equivalent to 268.9 thousand persons) were young ones. Of which</w:t>
      </w:r>
      <w:r w:rsidR="00EF40DB">
        <w:rPr>
          <w:rFonts w:ascii="Times New Roman" w:hAnsi="Times New Roman" w:cs="Times New Roman"/>
          <w:sz w:val="28"/>
          <w:szCs w:val="28"/>
        </w:rPr>
        <w:t>.</w:t>
      </w:r>
      <w:r>
        <w:rPr>
          <w:rFonts w:ascii="Times New Roman" w:hAnsi="Times New Roman" w:cs="Times New Roman"/>
          <w:sz w:val="28"/>
          <w:szCs w:val="28"/>
        </w:rPr>
        <w:t xml:space="preserve"> a dominant share (accounting for 75.1%) was formed by the young laborers who have graduated from college or above. </w:t>
      </w:r>
    </w:p>
    <w:p w:rsidR="004451CB" w:rsidRDefault="000019EE">
      <w:pPr>
        <w:widowControl w:val="0"/>
        <w:overflowPunct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In addition</w:t>
      </w:r>
      <w:r w:rsidR="00EF40DB">
        <w:rPr>
          <w:rFonts w:ascii="Times New Roman" w:hAnsi="Times New Roman" w:cs="Times New Roman"/>
          <w:sz w:val="28"/>
          <w:szCs w:val="28"/>
        </w:rPr>
        <w:t>.</w:t>
      </w:r>
      <w:r>
        <w:rPr>
          <w:rFonts w:ascii="Times New Roman" w:hAnsi="Times New Roman" w:cs="Times New Roman"/>
          <w:sz w:val="28"/>
          <w:szCs w:val="28"/>
        </w:rPr>
        <w:t xml:space="preserve"> about 25.9% (equivalent to 315 thousand persons) of total 1.2 million under-employed workers throughout the country were young persons aged 15 - 24. </w:t>
      </w:r>
    </w:p>
    <w:p w:rsidR="009C71A2" w:rsidRDefault="009C71A2">
      <w:pPr>
        <w:widowControl w:val="0"/>
        <w:overflowPunct w:val="0"/>
        <w:autoSpaceDE w:val="0"/>
        <w:autoSpaceDN w:val="0"/>
        <w:adjustRightInd w:val="0"/>
        <w:ind w:firstLine="720"/>
        <w:jc w:val="both"/>
        <w:rPr>
          <w:rFonts w:ascii="Times New Roman" w:hAnsi="Times New Roman" w:cs="Times New Roman"/>
          <w:sz w:val="28"/>
          <w:szCs w:val="28"/>
        </w:rPr>
      </w:pPr>
    </w:p>
    <w:p w:rsidR="009C71A2" w:rsidRDefault="009C71A2">
      <w:pPr>
        <w:widowControl w:val="0"/>
        <w:overflowPunct w:val="0"/>
        <w:autoSpaceDE w:val="0"/>
        <w:autoSpaceDN w:val="0"/>
        <w:adjustRightInd w:val="0"/>
        <w:ind w:firstLine="720"/>
        <w:jc w:val="both"/>
        <w:rPr>
          <w:rFonts w:ascii="Times New Roman" w:hAnsi="Times New Roman" w:cs="Times New Roman"/>
          <w:sz w:val="28"/>
          <w:szCs w:val="28"/>
        </w:rPr>
      </w:pPr>
    </w:p>
    <w:p w:rsidR="009C71A2" w:rsidRDefault="009C71A2">
      <w:pPr>
        <w:widowControl w:val="0"/>
        <w:overflowPunct w:val="0"/>
        <w:autoSpaceDE w:val="0"/>
        <w:autoSpaceDN w:val="0"/>
        <w:adjustRightInd w:val="0"/>
        <w:ind w:firstLine="720"/>
        <w:jc w:val="both"/>
        <w:rPr>
          <w:rFonts w:ascii="Times New Roman" w:hAnsi="Times New Roman" w:cs="Times New Roman"/>
          <w:sz w:val="28"/>
          <w:szCs w:val="28"/>
        </w:rPr>
      </w:pPr>
    </w:p>
    <w:p w:rsidR="009C71A2" w:rsidRDefault="009C71A2">
      <w:pPr>
        <w:widowControl w:val="0"/>
        <w:overflowPunct w:val="0"/>
        <w:autoSpaceDE w:val="0"/>
        <w:autoSpaceDN w:val="0"/>
        <w:adjustRightInd w:val="0"/>
        <w:ind w:firstLine="720"/>
        <w:jc w:val="both"/>
        <w:rPr>
          <w:rFonts w:ascii="Times New Roman" w:hAnsi="Times New Roman" w:cs="Times New Roman"/>
          <w:sz w:val="24"/>
          <w:szCs w:val="24"/>
        </w:rPr>
      </w:pPr>
    </w:p>
    <w:p w:rsidR="004451CB" w:rsidRDefault="004451CB">
      <w:pPr>
        <w:widowControl w:val="0"/>
        <w:autoSpaceDE w:val="0"/>
        <w:autoSpaceDN w:val="0"/>
        <w:adjustRightInd w:val="0"/>
        <w:spacing w:after="0" w:line="240" w:lineRule="auto"/>
        <w:rPr>
          <w:rFonts w:ascii="Times New Roman Bold" w:hAnsi="Times New Roman Bold" w:cs="Times New Roman"/>
          <w:sz w:val="26"/>
          <w:szCs w:val="26"/>
        </w:rPr>
      </w:pPr>
    </w:p>
    <w:p w:rsidR="004451CB" w:rsidRDefault="000019EE">
      <w:pPr>
        <w:widowControl w:val="0"/>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Table 4: Number of underemployed and unemployed persons aged 15+</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classified by quarter</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2014 and 2015</w:t>
      </w:r>
    </w:p>
    <w:p w:rsidR="004451CB" w:rsidRDefault="004451CB">
      <w:pPr>
        <w:widowControl w:val="0"/>
        <w:autoSpaceDE w:val="0"/>
        <w:autoSpaceDN w:val="0"/>
        <w:adjustRightInd w:val="0"/>
        <w:spacing w:after="0" w:line="240" w:lineRule="auto"/>
        <w:jc w:val="center"/>
        <w:rPr>
          <w:rFonts w:ascii="Times New Roman" w:hAnsi="Times New Roman" w:cs="Times New Roman"/>
          <w:b/>
          <w:bCs/>
          <w:sz w:val="26"/>
          <w:szCs w:val="26"/>
        </w:rPr>
      </w:pPr>
    </w:p>
    <w:p w:rsidR="004451CB" w:rsidRDefault="000019EE">
      <w:pPr>
        <w:widowControl w:val="0"/>
        <w:overflowPunct w:val="0"/>
        <w:autoSpaceDE w:val="0"/>
        <w:autoSpaceDN w:val="0"/>
        <w:adjustRightInd w:val="0"/>
        <w:spacing w:after="120"/>
        <w:jc w:val="right"/>
        <w:rPr>
          <w:rFonts w:ascii="Times New Roman" w:hAnsi="Times New Roman" w:cs="Times New Roman"/>
          <w:bCs/>
          <w:i/>
          <w:sz w:val="20"/>
          <w:szCs w:val="26"/>
        </w:rPr>
      </w:pPr>
      <w:r>
        <w:rPr>
          <w:rFonts w:ascii="Times New Roman" w:hAnsi="Times New Roman" w:cs="Times New Roman"/>
          <w:bCs/>
          <w:i/>
          <w:sz w:val="20"/>
          <w:szCs w:val="26"/>
        </w:rPr>
        <w:t xml:space="preserve">Unit: Thousand persons </w:t>
      </w:r>
    </w:p>
    <w:tbl>
      <w:tblPr>
        <w:tblW w:w="5000" w:type="pct"/>
        <w:tblLook w:val="04A0" w:firstRow="1" w:lastRow="0" w:firstColumn="1" w:lastColumn="0" w:noHBand="0" w:noVBand="1"/>
      </w:tblPr>
      <w:tblGrid>
        <w:gridCol w:w="3008"/>
        <w:gridCol w:w="776"/>
        <w:gridCol w:w="776"/>
        <w:gridCol w:w="776"/>
        <w:gridCol w:w="776"/>
        <w:gridCol w:w="776"/>
        <w:gridCol w:w="776"/>
        <w:gridCol w:w="776"/>
        <w:gridCol w:w="776"/>
      </w:tblGrid>
      <w:tr w:rsidR="004451CB">
        <w:trPr>
          <w:trHeight w:val="300"/>
        </w:trPr>
        <w:tc>
          <w:tcPr>
            <w:tcW w:w="163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Basic characteristic</w:t>
            </w:r>
          </w:p>
        </w:tc>
        <w:tc>
          <w:tcPr>
            <w:tcW w:w="1684" w:type="pct"/>
            <w:gridSpan w:val="4"/>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Underemployed persons</w:t>
            </w:r>
          </w:p>
        </w:tc>
        <w:tc>
          <w:tcPr>
            <w:tcW w:w="1684" w:type="pct"/>
            <w:gridSpan w:val="4"/>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Unemployed persons</w:t>
            </w:r>
          </w:p>
        </w:tc>
      </w:tr>
      <w:tr w:rsidR="004451CB">
        <w:trPr>
          <w:trHeight w:val="300"/>
        </w:trPr>
        <w:tc>
          <w:tcPr>
            <w:tcW w:w="1632"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rPr>
            </w:pP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2/2014</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3/2014</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4/2014</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1/2015</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2/2014</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3/2014</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4/2014</w:t>
            </w:r>
          </w:p>
        </w:tc>
        <w:tc>
          <w:tcPr>
            <w:tcW w:w="42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Quarter 1/2015</w:t>
            </w:r>
          </w:p>
        </w:tc>
      </w:tr>
      <w:tr w:rsidR="004451CB">
        <w:trPr>
          <w:trHeight w:hRule="exact" w:val="29"/>
        </w:trPr>
        <w:tc>
          <w:tcPr>
            <w:tcW w:w="1632" w:type="pct"/>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b/>
                <w:bCs/>
                <w:color w:val="000000"/>
                <w:sz w:val="20"/>
                <w:szCs w:val="20"/>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sz w:val="18"/>
                <w:szCs w:val="18"/>
              </w:rPr>
            </w:pPr>
          </w:p>
        </w:tc>
        <w:tc>
          <w:tcPr>
            <w:tcW w:w="421" w:type="pct"/>
            <w:tcBorders>
              <w:top w:val="nil"/>
              <w:left w:val="nil"/>
              <w:bottom w:val="nil"/>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21" w:type="pct"/>
            <w:tcBorders>
              <w:top w:val="nil"/>
              <w:left w:val="nil"/>
              <w:bottom w:val="nil"/>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21" w:type="pct"/>
            <w:tcBorders>
              <w:top w:val="nil"/>
              <w:left w:val="nil"/>
              <w:bottom w:val="nil"/>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21" w:type="pct"/>
            <w:tcBorders>
              <w:top w:val="nil"/>
              <w:left w:val="nil"/>
              <w:bottom w:val="nil"/>
              <w:right w:val="single" w:sz="4" w:space="0" w:color="auto"/>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Whole country</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1140.2</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1 161.9</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1 185.4</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1 217.3</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876.1</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1 048.8</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986.3</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1 216.9</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Urban</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155.7</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167.2</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185.6</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185.8</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481.2</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490.4</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479.6</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553.3</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Rural</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984.5</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994.7</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999.8</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1 031.5</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394.8</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558.4</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506.8</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663.6</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Sex</w:t>
            </w:r>
          </w:p>
        </w:tc>
        <w:tc>
          <w:tcPr>
            <w:tcW w:w="421" w:type="pct"/>
            <w:tcBorders>
              <w:top w:val="nil"/>
              <w:left w:val="nil"/>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421" w:type="pct"/>
            <w:tcBorders>
              <w:top w:val="nil"/>
              <w:left w:val="nil"/>
              <w:bottom w:val="nil"/>
              <w:right w:val="single" w:sz="4" w:space="0" w:color="auto"/>
            </w:tcBorders>
            <w:shd w:val="clear" w:color="auto" w:fill="auto"/>
            <w:vAlign w:val="center"/>
            <w:hideMark/>
          </w:tcPr>
          <w:p w:rsidR="004451CB" w:rsidRDefault="004451CB">
            <w:pPr>
              <w:autoSpaceDE w:val="0"/>
              <w:autoSpaceDN w:val="0"/>
              <w:adjustRightInd w:val="0"/>
              <w:spacing w:after="0" w:line="240" w:lineRule="auto"/>
              <w:jc w:val="right"/>
              <w:rPr>
                <w:rFonts w:ascii="Calibri" w:hAnsi="Calibri" w:cs="Calibri"/>
                <w:color w:val="000000"/>
              </w:rPr>
            </w:pP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Male</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627.3</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631.6</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625.7</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658.4</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480.1</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578.5</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507.1</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645.1</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513.0</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530.3</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559.6</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558.9</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396.0</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470.3</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479.2</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571.8</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Social-economic region</w:t>
            </w: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21" w:type="pct"/>
            <w:tcBorders>
              <w:top w:val="nil"/>
              <w:left w:val="nil"/>
              <w:bottom w:val="nil"/>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21" w:type="pct"/>
            <w:tcBorders>
              <w:top w:val="nil"/>
              <w:left w:val="nil"/>
              <w:bottom w:val="nil"/>
              <w:right w:val="nil"/>
            </w:tcBorders>
            <w:shd w:val="clear" w:color="auto" w:fill="auto"/>
            <w:noWrap/>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421" w:type="pct"/>
            <w:tcBorders>
              <w:top w:val="nil"/>
              <w:left w:val="nil"/>
              <w:bottom w:val="nil"/>
              <w:right w:val="single" w:sz="4" w:space="0" w:color="auto"/>
            </w:tcBorders>
            <w:shd w:val="clear" w:color="auto" w:fill="auto"/>
            <w:noWrap/>
            <w:vAlign w:val="center"/>
            <w:hideMark/>
          </w:tcPr>
          <w:p w:rsidR="004451CB" w:rsidRDefault="004451CB">
            <w:pPr>
              <w:autoSpaceDE w:val="0"/>
              <w:autoSpaceDN w:val="0"/>
              <w:adjustRightInd w:val="0"/>
              <w:spacing w:after="0" w:line="240" w:lineRule="auto"/>
              <w:jc w:val="right"/>
              <w:rPr>
                <w:rFonts w:ascii="Calibri" w:hAnsi="Calibri" w:cs="Calibri"/>
                <w:color w:val="000000"/>
              </w:rPr>
            </w:pP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Northern Midlands and Mountains</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94.6</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81.2</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108.5</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135.0</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44.5</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57.2</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48.8</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78.1</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Red River Delta</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331.8</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245.7</w:t>
            </w:r>
          </w:p>
        </w:tc>
        <w:tc>
          <w:tcPr>
            <w:tcW w:w="421" w:type="pct"/>
            <w:tcBorders>
              <w:top w:val="nil"/>
              <w:left w:val="nil"/>
              <w:bottom w:val="nil"/>
              <w:right w:val="nil"/>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261.1</w:t>
            </w:r>
          </w:p>
        </w:tc>
        <w:tc>
          <w:tcPr>
            <w:tcW w:w="421" w:type="pct"/>
            <w:tcBorders>
              <w:top w:val="nil"/>
              <w:left w:val="nil"/>
              <w:bottom w:val="nil"/>
              <w:right w:val="nil"/>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230.7</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246.9</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318.4</w:t>
            </w:r>
          </w:p>
        </w:tc>
        <w:tc>
          <w:tcPr>
            <w:tcW w:w="421" w:type="pct"/>
            <w:tcBorders>
              <w:top w:val="nil"/>
              <w:left w:val="nil"/>
              <w:bottom w:val="nil"/>
              <w:right w:val="nil"/>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301.6</w:t>
            </w:r>
          </w:p>
        </w:tc>
        <w:tc>
          <w:tcPr>
            <w:tcW w:w="421" w:type="pct"/>
            <w:tcBorders>
              <w:top w:val="nil"/>
              <w:left w:val="nil"/>
              <w:bottom w:val="nil"/>
              <w:right w:val="single" w:sz="4" w:space="0" w:color="auto"/>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280</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 and South Central Coast</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229.8</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249.6</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318.7</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367.8</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190.4</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243.4</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220.4</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304.6</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Central Highland</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74.3</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118.3</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47.3</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55.7</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28.1</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39.7</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39.3</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38.1</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Southeast</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32.8</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59.3</w:t>
            </w:r>
          </w:p>
        </w:tc>
        <w:tc>
          <w:tcPr>
            <w:tcW w:w="421" w:type="pct"/>
            <w:tcBorders>
              <w:top w:val="nil"/>
              <w:left w:val="nil"/>
              <w:bottom w:val="nil"/>
              <w:right w:val="nil"/>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50.8</w:t>
            </w:r>
          </w:p>
        </w:tc>
        <w:tc>
          <w:tcPr>
            <w:tcW w:w="421" w:type="pct"/>
            <w:tcBorders>
              <w:top w:val="nil"/>
              <w:left w:val="nil"/>
              <w:bottom w:val="nil"/>
              <w:right w:val="nil"/>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65.5</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197.5</w:t>
            </w:r>
          </w:p>
        </w:tc>
        <w:tc>
          <w:tcPr>
            <w:tcW w:w="42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200.3</w:t>
            </w:r>
          </w:p>
        </w:tc>
        <w:tc>
          <w:tcPr>
            <w:tcW w:w="421" w:type="pct"/>
            <w:tcBorders>
              <w:top w:val="nil"/>
              <w:left w:val="nil"/>
              <w:bottom w:val="nil"/>
              <w:right w:val="nil"/>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179.3</w:t>
            </w:r>
          </w:p>
        </w:tc>
        <w:tc>
          <w:tcPr>
            <w:tcW w:w="421" w:type="pct"/>
            <w:tcBorders>
              <w:top w:val="nil"/>
              <w:left w:val="nil"/>
              <w:bottom w:val="nil"/>
              <w:right w:val="single" w:sz="4" w:space="0" w:color="auto"/>
            </w:tcBorders>
            <w:shd w:val="clear" w:color="auto" w:fill="auto"/>
            <w:noWrap/>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260.5</w:t>
            </w:r>
          </w:p>
        </w:tc>
      </w:tr>
      <w:tr w:rsidR="004451CB">
        <w:trPr>
          <w:trHeight w:hRule="exact" w:val="259"/>
        </w:trPr>
        <w:tc>
          <w:tcPr>
            <w:tcW w:w="1632"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Mekong River Delta</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377.0</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407.8</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399.0</w:t>
            </w:r>
          </w:p>
        </w:tc>
        <w:tc>
          <w:tcPr>
            <w:tcW w:w="421" w:type="pct"/>
            <w:tcBorders>
              <w:top w:val="nil"/>
              <w:left w:val="nil"/>
              <w:bottom w:val="nil"/>
              <w:right w:val="nil"/>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362.6</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168.6</w:t>
            </w:r>
          </w:p>
        </w:tc>
        <w:tc>
          <w:tcPr>
            <w:tcW w:w="42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189.7</w:t>
            </w:r>
          </w:p>
        </w:tc>
        <w:tc>
          <w:tcPr>
            <w:tcW w:w="421" w:type="pct"/>
            <w:tcBorders>
              <w:top w:val="nil"/>
              <w:left w:val="nil"/>
              <w:bottom w:val="nil"/>
              <w:right w:val="nil"/>
            </w:tcBorders>
            <w:shd w:val="clear" w:color="auto" w:fill="auto"/>
            <w:noWrap/>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196.8</w:t>
            </w:r>
          </w:p>
        </w:tc>
        <w:tc>
          <w:tcPr>
            <w:tcW w:w="421" w:type="pct"/>
            <w:tcBorders>
              <w:top w:val="nil"/>
              <w:left w:val="nil"/>
              <w:bottom w:val="nil"/>
              <w:right w:val="single" w:sz="4" w:space="0" w:color="auto"/>
            </w:tcBorders>
            <w:shd w:val="clear" w:color="auto" w:fill="auto"/>
            <w:noWrap/>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255.5</w:t>
            </w:r>
          </w:p>
        </w:tc>
      </w:tr>
      <w:tr w:rsidR="004451CB">
        <w:trPr>
          <w:trHeight w:hRule="exact" w:val="43"/>
        </w:trPr>
        <w:tc>
          <w:tcPr>
            <w:tcW w:w="1632" w:type="pct"/>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21"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nil"/>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21" w:type="pct"/>
            <w:tcBorders>
              <w:top w:val="nil"/>
              <w:left w:val="nil"/>
              <w:bottom w:val="single" w:sz="4" w:space="0" w:color="auto"/>
              <w:right w:val="single" w:sz="4" w:space="0" w:color="auto"/>
            </w:tcBorders>
            <w:shd w:val="clear" w:color="auto" w:fill="auto"/>
            <w:noWrap/>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r>
    </w:tbl>
    <w:p w:rsidR="004451CB" w:rsidRDefault="004451CB">
      <w:pPr>
        <w:widowControl w:val="0"/>
        <w:autoSpaceDE w:val="0"/>
        <w:autoSpaceDN w:val="0"/>
        <w:adjustRightInd w:val="0"/>
        <w:spacing w:after="0" w:line="240" w:lineRule="auto"/>
        <w:jc w:val="center"/>
        <w:rPr>
          <w:rFonts w:ascii="Times New Roman" w:hAnsi="Times New Roman" w:cs="Times New Roman"/>
          <w:b/>
          <w:bCs/>
          <w:sz w:val="26"/>
          <w:szCs w:val="26"/>
        </w:rPr>
      </w:pPr>
    </w:p>
    <w:p w:rsidR="004451CB" w:rsidRDefault="000019E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6"/>
          <w:szCs w:val="26"/>
        </w:rPr>
        <w:t>Table 5: Percentage d</w:t>
      </w:r>
      <w:r>
        <w:rPr>
          <w:rFonts w:ascii="Times New Roman" w:hAnsi="Times New Roman" w:cs="Times New Roman"/>
          <w:b/>
          <w:bCs/>
          <w:sz w:val="24"/>
          <w:szCs w:val="24"/>
        </w:rPr>
        <w:t>istribution</w:t>
      </w:r>
      <w:r>
        <w:rPr>
          <w:rFonts w:ascii="Times New Roman" w:hAnsi="Times New Roman" w:cs="Times New Roman"/>
          <w:b/>
          <w:bCs/>
          <w:sz w:val="26"/>
          <w:szCs w:val="26"/>
        </w:rPr>
        <w:t xml:space="preserve"> of underemployed and unemployed population aged 15 +</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classified by age group in quarter 1</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2015</w:t>
      </w:r>
    </w:p>
    <w:p w:rsidR="004451CB" w:rsidRDefault="000019EE">
      <w:pPr>
        <w:widowControl w:val="0"/>
        <w:overflowPunct w:val="0"/>
        <w:autoSpaceDE w:val="0"/>
        <w:autoSpaceDN w:val="0"/>
        <w:adjustRightInd w:val="0"/>
        <w:spacing w:after="0"/>
        <w:jc w:val="right"/>
        <w:rPr>
          <w:rFonts w:ascii="Times New Roman" w:hAnsi="Times New Roman" w:cs="Times New Roman"/>
          <w:bCs/>
          <w:i/>
          <w:sz w:val="20"/>
          <w:szCs w:val="26"/>
        </w:rPr>
      </w:pPr>
      <w:r>
        <w:rPr>
          <w:rFonts w:ascii="Times New Roman" w:hAnsi="Times New Roman" w:cs="Times New Roman"/>
          <w:bCs/>
          <w:i/>
          <w:sz w:val="20"/>
          <w:szCs w:val="26"/>
        </w:rPr>
        <w:t>Unit: %</w:t>
      </w:r>
    </w:p>
    <w:tbl>
      <w:tblPr>
        <w:tblW w:w="5000" w:type="pct"/>
        <w:tblLook w:val="04A0" w:firstRow="1" w:lastRow="0" w:firstColumn="1" w:lastColumn="0" w:noHBand="0" w:noVBand="1"/>
      </w:tblPr>
      <w:tblGrid>
        <w:gridCol w:w="1645"/>
        <w:gridCol w:w="850"/>
        <w:gridCol w:w="849"/>
        <w:gridCol w:w="1058"/>
        <w:gridCol w:w="1120"/>
        <w:gridCol w:w="849"/>
        <w:gridCol w:w="849"/>
        <w:gridCol w:w="1058"/>
        <w:gridCol w:w="1118"/>
      </w:tblGrid>
      <w:tr w:rsidR="004451CB">
        <w:trPr>
          <w:trHeight w:hRule="exact" w:val="284"/>
        </w:trPr>
        <w:tc>
          <w:tcPr>
            <w:tcW w:w="87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51CB" w:rsidRDefault="000019EE">
            <w:pPr>
              <w:spacing w:after="0" w:line="288" w:lineRule="auto"/>
              <w:rPr>
                <w:rFonts w:ascii="Times New Roman" w:hAnsi="Times New Roman"/>
                <w:b/>
                <w:sz w:val="20"/>
                <w:szCs w:val="20"/>
              </w:rPr>
            </w:pPr>
            <w:r>
              <w:rPr>
                <w:rFonts w:ascii="Times New Roman" w:hAnsi="Times New Roman"/>
                <w:b/>
                <w:sz w:val="20"/>
                <w:szCs w:val="20"/>
              </w:rPr>
              <w:t>Age group</w:t>
            </w:r>
          </w:p>
        </w:tc>
        <w:tc>
          <w:tcPr>
            <w:tcW w:w="2063" w:type="pct"/>
            <w:gridSpan w:val="4"/>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after="0" w:line="288" w:lineRule="auto"/>
              <w:jc w:val="center"/>
              <w:rPr>
                <w:rFonts w:ascii="Times New Roman" w:hAnsi="Times New Roman"/>
                <w:b/>
                <w:sz w:val="20"/>
                <w:szCs w:val="20"/>
              </w:rPr>
            </w:pPr>
            <w:r>
              <w:rPr>
                <w:rFonts w:ascii="Times New Roman" w:hAnsi="Times New Roman"/>
                <w:b/>
                <w:sz w:val="20"/>
                <w:szCs w:val="20"/>
              </w:rPr>
              <w:t>Proportion of underemployed pers.</w:t>
            </w:r>
          </w:p>
        </w:tc>
        <w:tc>
          <w:tcPr>
            <w:tcW w:w="2062" w:type="pct"/>
            <w:gridSpan w:val="4"/>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after="0" w:line="288" w:lineRule="auto"/>
              <w:jc w:val="center"/>
              <w:rPr>
                <w:rFonts w:ascii="Times New Roman" w:hAnsi="Times New Roman"/>
                <w:b/>
                <w:sz w:val="20"/>
                <w:szCs w:val="20"/>
              </w:rPr>
            </w:pPr>
            <w:r>
              <w:rPr>
                <w:rFonts w:ascii="Times New Roman" w:hAnsi="Times New Roman"/>
                <w:b/>
                <w:sz w:val="20"/>
                <w:szCs w:val="20"/>
              </w:rPr>
              <w:t>Proportion of unemployed pers.</w:t>
            </w:r>
          </w:p>
        </w:tc>
      </w:tr>
      <w:tr w:rsidR="004451CB">
        <w:trPr>
          <w:trHeight w:val="230"/>
        </w:trPr>
        <w:tc>
          <w:tcPr>
            <w:tcW w:w="875" w:type="pct"/>
            <w:vMerge/>
            <w:tcBorders>
              <w:top w:val="single" w:sz="4" w:space="0" w:color="auto"/>
              <w:left w:val="single" w:sz="4" w:space="0" w:color="auto"/>
              <w:bottom w:val="single" w:sz="4" w:space="0" w:color="000000"/>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sz w:val="20"/>
                <w:szCs w:val="20"/>
              </w:rPr>
            </w:pP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hAnsi="Times New Roman"/>
                <w:b/>
                <w:sz w:val="20"/>
                <w:szCs w:val="20"/>
              </w:rPr>
              <w:t>Total</w:t>
            </w: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hAnsi="Times New Roman"/>
                <w:b/>
                <w:sz w:val="20"/>
                <w:szCs w:val="20"/>
              </w:rPr>
              <w:t>Male</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88" w:lineRule="auto"/>
              <w:contextualSpacing/>
              <w:rPr>
                <w:rFonts w:ascii="Times New Roman" w:hAnsi="Times New Roman"/>
                <w:b/>
                <w:sz w:val="20"/>
                <w:szCs w:val="20"/>
              </w:rPr>
            </w:pPr>
            <w:r>
              <w:rPr>
                <w:rFonts w:ascii="Times New Roman" w:hAnsi="Times New Roman"/>
                <w:b/>
                <w:sz w:val="20"/>
                <w:szCs w:val="20"/>
              </w:rPr>
              <w:t>Female</w:t>
            </w:r>
          </w:p>
        </w:tc>
        <w:tc>
          <w:tcPr>
            <w:tcW w:w="596"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88" w:lineRule="auto"/>
              <w:ind w:left="-81" w:right="-106"/>
              <w:contextualSpacing/>
              <w:jc w:val="center"/>
              <w:rPr>
                <w:rFonts w:ascii="Times New Roman" w:hAnsi="Times New Roman"/>
                <w:b/>
                <w:sz w:val="20"/>
                <w:szCs w:val="20"/>
              </w:rPr>
            </w:pPr>
            <w:r>
              <w:rPr>
                <w:rFonts w:ascii="Times New Roman" w:hAnsi="Times New Roman"/>
                <w:b/>
                <w:sz w:val="20"/>
                <w:szCs w:val="20"/>
              </w:rPr>
              <w:t>% Female</w:t>
            </w: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hAnsi="Times New Roman"/>
                <w:b/>
                <w:sz w:val="20"/>
                <w:szCs w:val="20"/>
              </w:rPr>
              <w:t>Total</w:t>
            </w: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contextualSpacing/>
              <w:jc w:val="center"/>
              <w:rPr>
                <w:rFonts w:ascii="Times New Roman" w:eastAsia="Times New Roman" w:hAnsi="Times New Roman" w:cs="Times New Roman"/>
                <w:b/>
                <w:color w:val="000000"/>
                <w:sz w:val="20"/>
                <w:szCs w:val="20"/>
              </w:rPr>
            </w:pPr>
            <w:r>
              <w:rPr>
                <w:rFonts w:ascii="Times New Roman" w:hAnsi="Times New Roman"/>
                <w:b/>
                <w:sz w:val="20"/>
                <w:szCs w:val="20"/>
              </w:rPr>
              <w:t>Male</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88" w:lineRule="auto"/>
              <w:contextualSpacing/>
              <w:rPr>
                <w:rFonts w:ascii="Times New Roman" w:hAnsi="Times New Roman"/>
                <w:b/>
                <w:sz w:val="20"/>
                <w:szCs w:val="20"/>
              </w:rPr>
            </w:pPr>
            <w:r>
              <w:rPr>
                <w:rFonts w:ascii="Times New Roman" w:hAnsi="Times New Roman"/>
                <w:b/>
                <w:sz w:val="20"/>
                <w:szCs w:val="20"/>
              </w:rPr>
              <w:t>Female</w:t>
            </w:r>
          </w:p>
        </w:tc>
        <w:tc>
          <w:tcPr>
            <w:tcW w:w="595"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after="0" w:line="288" w:lineRule="auto"/>
              <w:ind w:left="-81" w:right="-106"/>
              <w:contextualSpacing/>
              <w:jc w:val="center"/>
              <w:rPr>
                <w:rFonts w:ascii="Times New Roman" w:hAnsi="Times New Roman"/>
                <w:b/>
                <w:sz w:val="20"/>
                <w:szCs w:val="20"/>
              </w:rPr>
            </w:pPr>
            <w:r>
              <w:rPr>
                <w:rFonts w:ascii="Times New Roman" w:hAnsi="Times New Roman"/>
                <w:b/>
                <w:sz w:val="20"/>
                <w:szCs w:val="20"/>
              </w:rPr>
              <w:t>% Female</w:t>
            </w:r>
          </w:p>
        </w:tc>
      </w:tr>
      <w:tr w:rsidR="004451CB">
        <w:trPr>
          <w:trHeight w:val="350"/>
        </w:trPr>
        <w:tc>
          <w:tcPr>
            <w:tcW w:w="875" w:type="pct"/>
            <w:vMerge/>
            <w:tcBorders>
              <w:top w:val="single" w:sz="4" w:space="0" w:color="auto"/>
              <w:left w:val="single" w:sz="4" w:space="0" w:color="auto"/>
              <w:bottom w:val="single" w:sz="4" w:space="0" w:color="000000"/>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2"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2"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63"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96"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2"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52"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63"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595"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b/>
                <w:bCs/>
              </w:rPr>
            </w:pPr>
            <w:r>
              <w:rPr>
                <w:rFonts w:ascii="Times New Roman" w:hAnsi="Times New Roman"/>
                <w:b/>
                <w:bCs/>
              </w:rPr>
              <w:t>Total</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45.9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47.0</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15-24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25.9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29.2</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22.0</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39.0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48.2</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46.6</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50.0</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48.7</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25-54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64.0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61.4</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67.1</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48.1</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45.2</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46.3</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44.0</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45.7</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55-59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5.6</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5.2</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6.2</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50.5</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3.5</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3.7</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3.4</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45.1</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 xml:space="preserve">60 and over </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4.2</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4.7</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48.3</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3.1</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3.5</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2.7</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40.4</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bCs/>
              </w:rPr>
            </w:pPr>
            <w:r>
              <w:rPr>
                <w:rFonts w:ascii="Times New Roman" w:hAnsi="Times New Roman"/>
                <w:b/>
                <w:bCs/>
              </w:rPr>
              <w:t>Urban</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49.0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46.9</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15-24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20.1</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21.3</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18.8</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45.9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47.6</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43.1</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52.6</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51.9</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25-54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69.7</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68.6</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70.8</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49.8</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47.2</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51.3</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42.5</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42.3</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55-59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5.8</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5.5</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46.9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3.3</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3.6</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49.5</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 xml:space="preserve">60 and over </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4.5</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4.1</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4.9</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53.5</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1.8</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2.3</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1.2</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32.3</w:t>
            </w:r>
          </w:p>
        </w:tc>
      </w:tr>
      <w:tr w:rsidR="004451CB">
        <w:trPr>
          <w:trHeight w:val="252"/>
        </w:trPr>
        <w:tc>
          <w:tcPr>
            <w:tcW w:w="875"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bCs/>
              </w:rPr>
            </w:pPr>
            <w:r>
              <w:rPr>
                <w:rFonts w:ascii="Times New Roman" w:hAnsi="Times New Roman"/>
                <w:b/>
                <w:bCs/>
              </w:rPr>
              <w:t>Rural</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100.0</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45.4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100.0</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b/>
                <w:sz w:val="18"/>
                <w:szCs w:val="18"/>
              </w:rPr>
            </w:pPr>
            <w:r>
              <w:rPr>
                <w:rFonts w:ascii="Times New Roman" w:hAnsi="Times New Roman" w:cs="Times New Roman"/>
                <w:b/>
                <w:sz w:val="18"/>
                <w:szCs w:val="18"/>
              </w:rPr>
              <w:t>47.0</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15-24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26.9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30.5</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22.6</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38.0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48.6</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49.4</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47.7</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46.2</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25-54</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63.0</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60.2</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66.4</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47.8</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43.5</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42.0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45.2</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48.8</w:t>
            </w:r>
          </w:p>
        </w:tc>
      </w:tr>
      <w:tr w:rsidR="004451CB">
        <w:trPr>
          <w:trHeight w:val="255"/>
        </w:trPr>
        <w:tc>
          <w:tcPr>
            <w:tcW w:w="875" w:type="pct"/>
            <w:tcBorders>
              <w:top w:val="nil"/>
              <w:left w:val="single" w:sz="4" w:space="0" w:color="auto"/>
              <w:bottom w:val="nil"/>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55-59</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5.6</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6.4</w:t>
            </w:r>
          </w:p>
        </w:tc>
        <w:tc>
          <w:tcPr>
            <w:tcW w:w="596" w:type="pct"/>
            <w:tcBorders>
              <w:top w:val="nil"/>
              <w:left w:val="nil"/>
              <w:bottom w:val="nil"/>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51.2</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3.7</w:t>
            </w:r>
          </w:p>
        </w:tc>
        <w:tc>
          <w:tcPr>
            <w:tcW w:w="452"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4.0</w:t>
            </w:r>
          </w:p>
        </w:tc>
        <w:tc>
          <w:tcPr>
            <w:tcW w:w="563" w:type="pct"/>
            <w:tcBorders>
              <w:top w:val="nil"/>
              <w:left w:val="nil"/>
              <w:bottom w:val="nil"/>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3.2</w:t>
            </w:r>
          </w:p>
        </w:tc>
        <w:tc>
          <w:tcPr>
            <w:tcW w:w="595" w:type="pct"/>
            <w:tcBorders>
              <w:top w:val="nil"/>
              <w:left w:val="nil"/>
              <w:bottom w:val="nil"/>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41.6</w:t>
            </w:r>
          </w:p>
        </w:tc>
      </w:tr>
      <w:tr w:rsidR="004451CB">
        <w:trPr>
          <w:trHeight w:val="255"/>
        </w:trPr>
        <w:tc>
          <w:tcPr>
            <w:tcW w:w="875" w:type="pct"/>
            <w:tcBorders>
              <w:top w:val="nil"/>
              <w:left w:val="single" w:sz="4" w:space="0" w:color="auto"/>
              <w:bottom w:val="single" w:sz="4" w:space="0" w:color="auto"/>
              <w:right w:val="nil"/>
            </w:tcBorders>
            <w:shd w:val="clear" w:color="auto" w:fill="auto"/>
            <w:vAlign w:val="center"/>
            <w:hideMark/>
          </w:tcPr>
          <w:p w:rsidR="004451CB" w:rsidRDefault="000019EE">
            <w:pPr>
              <w:spacing w:before="20" w:after="20" w:line="240" w:lineRule="auto"/>
              <w:rPr>
                <w:rFonts w:ascii="Times New Roman" w:hAnsi="Times New Roman"/>
              </w:rPr>
            </w:pPr>
            <w:r>
              <w:rPr>
                <w:rFonts w:ascii="Times New Roman" w:hAnsi="Times New Roman"/>
              </w:rPr>
              <w:t xml:space="preserve">60 and over </w:t>
            </w:r>
          </w:p>
        </w:tc>
        <w:tc>
          <w:tcPr>
            <w:tcW w:w="452"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4.4</w:t>
            </w:r>
          </w:p>
        </w:tc>
        <w:tc>
          <w:tcPr>
            <w:tcW w:w="452"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4.3</w:t>
            </w:r>
          </w:p>
        </w:tc>
        <w:tc>
          <w:tcPr>
            <w:tcW w:w="563"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4.6</w:t>
            </w:r>
          </w:p>
        </w:tc>
        <w:tc>
          <w:tcPr>
            <w:tcW w:w="596"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47.4</w:t>
            </w:r>
          </w:p>
        </w:tc>
        <w:tc>
          <w:tcPr>
            <w:tcW w:w="452"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4.2</w:t>
            </w:r>
          </w:p>
        </w:tc>
        <w:tc>
          <w:tcPr>
            <w:tcW w:w="452"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4.5</w:t>
            </w:r>
          </w:p>
        </w:tc>
        <w:tc>
          <w:tcPr>
            <w:tcW w:w="563" w:type="pct"/>
            <w:tcBorders>
              <w:top w:val="nil"/>
              <w:left w:val="nil"/>
              <w:bottom w:val="single" w:sz="4" w:space="0" w:color="auto"/>
              <w:right w:val="nil"/>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3.9</w:t>
            </w:r>
          </w:p>
        </w:tc>
        <w:tc>
          <w:tcPr>
            <w:tcW w:w="595" w:type="pct"/>
            <w:tcBorders>
              <w:top w:val="nil"/>
              <w:left w:val="nil"/>
              <w:bottom w:val="single" w:sz="4" w:space="0" w:color="auto"/>
              <w:right w:val="single" w:sz="4" w:space="0" w:color="auto"/>
            </w:tcBorders>
            <w:shd w:val="clear" w:color="auto" w:fill="auto"/>
            <w:noWrap/>
            <w:tcMar>
              <w:left w:w="0" w:type="dxa"/>
              <w:right w:w="288" w:type="dxa"/>
            </w:tcMar>
            <w:vAlign w:val="center"/>
            <w:hideMark/>
          </w:tcPr>
          <w:p w:rsidR="004451CB" w:rsidRDefault="000019EE">
            <w:pPr>
              <w:spacing w:after="0" w:line="240" w:lineRule="auto"/>
              <w:contextualSpacing/>
              <w:jc w:val="right"/>
              <w:rPr>
                <w:rFonts w:ascii="Times New Roman" w:hAnsi="Times New Roman" w:cs="Times New Roman"/>
                <w:sz w:val="18"/>
                <w:szCs w:val="18"/>
              </w:rPr>
            </w:pPr>
            <w:r>
              <w:rPr>
                <w:rFonts w:ascii="Times New Roman" w:hAnsi="Times New Roman" w:cs="Times New Roman"/>
                <w:sz w:val="18"/>
                <w:szCs w:val="18"/>
              </w:rPr>
              <w:t>43.3</w:t>
            </w:r>
          </w:p>
        </w:tc>
      </w:tr>
    </w:tbl>
    <w:p w:rsidR="004451CB" w:rsidRDefault="004451CB">
      <w:pPr>
        <w:widowControl w:val="0"/>
        <w:autoSpaceDE w:val="0"/>
        <w:autoSpaceDN w:val="0"/>
        <w:adjustRightInd w:val="0"/>
        <w:spacing w:after="0" w:line="240" w:lineRule="auto"/>
        <w:rPr>
          <w:rFonts w:ascii="Times New Roman Bold" w:hAnsi="Times New Roman Bold" w:cs="Times New Roman"/>
          <w:sz w:val="26"/>
          <w:szCs w:val="26"/>
        </w:rPr>
      </w:pPr>
    </w:p>
    <w:p w:rsidR="004451CB" w:rsidRDefault="000019EE">
      <w:pPr>
        <w:widowControl w:val="0"/>
        <w:autoSpaceDE w:val="0"/>
        <w:autoSpaceDN w:val="0"/>
        <w:adjustRightInd w:val="0"/>
        <w:rPr>
          <w:rFonts w:ascii="Times New Roman" w:hAnsi="Times New Roman" w:cs="Times New Roman"/>
          <w:sz w:val="26"/>
          <w:szCs w:val="26"/>
        </w:rPr>
      </w:pPr>
      <w:r>
        <w:rPr>
          <w:rFonts w:ascii="Times New Roman" w:hAnsi="Times New Roman" w:cs="Times New Roman"/>
          <w:b/>
          <w:bCs/>
          <w:i/>
          <w:iCs/>
          <w:sz w:val="26"/>
          <w:szCs w:val="26"/>
        </w:rPr>
        <w:t>3.2 Underemployment rate and unemployment rate</w:t>
      </w:r>
    </w:p>
    <w:p w:rsidR="004451CB" w:rsidRDefault="000019EE">
      <w:pPr>
        <w:widowControl w:val="0"/>
        <w:overflowPunct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 xml:space="preserve">The working age underemployment and unemployment rates are referred </w:t>
      </w:r>
      <w:r>
        <w:rPr>
          <w:rFonts w:ascii="Times New Roman" w:hAnsi="Times New Roman" w:cs="Times New Roman"/>
          <w:sz w:val="28"/>
          <w:szCs w:val="28"/>
        </w:rPr>
        <w:lastRenderedPageBreak/>
        <w:t xml:space="preserve">to those females who are from 15 to 54 years old and those males who are from 15 to 59 years old. </w:t>
      </w:r>
    </w:p>
    <w:p w:rsidR="004451CB" w:rsidRDefault="000019EE">
      <w:pPr>
        <w:widowControl w:val="0"/>
        <w:overflowPunct w:val="0"/>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As of quarter 1</w:t>
      </w:r>
      <w:r w:rsidR="00EF40DB">
        <w:rPr>
          <w:rFonts w:ascii="Times New Roman" w:hAnsi="Times New Roman" w:cs="Times New Roman"/>
          <w:sz w:val="28"/>
          <w:szCs w:val="28"/>
        </w:rPr>
        <w:t>.</w:t>
      </w:r>
      <w:r>
        <w:rPr>
          <w:rFonts w:ascii="Times New Roman" w:hAnsi="Times New Roman" w:cs="Times New Roman"/>
          <w:sz w:val="28"/>
          <w:szCs w:val="28"/>
        </w:rPr>
        <w:t xml:space="preserve"> 2015</w:t>
      </w:r>
      <w:r w:rsidR="00EF40DB">
        <w:rPr>
          <w:rFonts w:ascii="Times New Roman" w:hAnsi="Times New Roman" w:cs="Times New Roman"/>
          <w:sz w:val="28"/>
          <w:szCs w:val="28"/>
        </w:rPr>
        <w:t>.</w:t>
      </w:r>
      <w:r>
        <w:rPr>
          <w:rFonts w:ascii="Times New Roman" w:hAnsi="Times New Roman" w:cs="Times New Roman"/>
          <w:sz w:val="28"/>
          <w:szCs w:val="28"/>
        </w:rPr>
        <w:t xml:space="preserve"> the working age unemployment rate for the whole country reached to 2.43%. Of which</w:t>
      </w:r>
      <w:r w:rsidR="00EF40DB">
        <w:rPr>
          <w:rFonts w:ascii="Times New Roman" w:hAnsi="Times New Roman" w:cs="Times New Roman"/>
          <w:sz w:val="28"/>
          <w:szCs w:val="28"/>
        </w:rPr>
        <w:t>.</w:t>
      </w:r>
      <w:r>
        <w:rPr>
          <w:rFonts w:ascii="Times New Roman" w:hAnsi="Times New Roman" w:cs="Times New Roman"/>
          <w:sz w:val="28"/>
          <w:szCs w:val="28"/>
        </w:rPr>
        <w:t xml:space="preserve"> the urban unemployment rate (standing at 3.43%) was found higher than that of rural areas (1.95%). Sex gap on unemployment rate was not considerable</w:t>
      </w:r>
      <w:r w:rsidR="00EF40DB">
        <w:rPr>
          <w:rFonts w:ascii="Times New Roman" w:hAnsi="Times New Roman" w:cs="Times New Roman"/>
          <w:sz w:val="28"/>
          <w:szCs w:val="28"/>
        </w:rPr>
        <w:t>.</w:t>
      </w:r>
      <w:r>
        <w:rPr>
          <w:rFonts w:ascii="Times New Roman" w:hAnsi="Times New Roman" w:cs="Times New Roman"/>
          <w:sz w:val="28"/>
          <w:szCs w:val="28"/>
        </w:rPr>
        <w:t xml:space="preserve"> just 0.03% percentage points. However</w:t>
      </w:r>
      <w:r w:rsidR="00EF40DB">
        <w:rPr>
          <w:rFonts w:ascii="Times New Roman" w:hAnsi="Times New Roman" w:cs="Times New Roman"/>
          <w:sz w:val="28"/>
          <w:szCs w:val="28"/>
        </w:rPr>
        <w:t>.</w:t>
      </w:r>
      <w:r>
        <w:rPr>
          <w:rFonts w:ascii="Times New Roman" w:hAnsi="Times New Roman" w:cs="Times New Roman"/>
          <w:sz w:val="28"/>
          <w:szCs w:val="28"/>
        </w:rPr>
        <w:t xml:space="preserve"> among sampling domains</w:t>
      </w:r>
      <w:r w:rsidR="00EF40DB">
        <w:rPr>
          <w:rFonts w:ascii="Times New Roman" w:hAnsi="Times New Roman" w:cs="Times New Roman"/>
          <w:sz w:val="28"/>
          <w:szCs w:val="28"/>
        </w:rPr>
        <w:t>.</w:t>
      </w:r>
      <w:r>
        <w:rPr>
          <w:rFonts w:ascii="Times New Roman" w:hAnsi="Times New Roman" w:cs="Times New Roman"/>
          <w:sz w:val="28"/>
          <w:szCs w:val="28"/>
        </w:rPr>
        <w:t xml:space="preserve"> the unemployment rate was quite different. The region occupying the lowest rate was the Northern Midlands and Mountains (1.15%)</w:t>
      </w:r>
      <w:r w:rsidR="00EF40DB">
        <w:rPr>
          <w:rFonts w:ascii="Times New Roman" w:hAnsi="Times New Roman" w:cs="Times New Roman"/>
          <w:sz w:val="28"/>
          <w:szCs w:val="28"/>
        </w:rPr>
        <w:t>.</w:t>
      </w:r>
      <w:r>
        <w:rPr>
          <w:rFonts w:ascii="Times New Roman" w:hAnsi="Times New Roman" w:cs="Times New Roman"/>
          <w:sz w:val="28"/>
          <w:szCs w:val="28"/>
        </w:rPr>
        <w:t xml:space="preserve"> followed by the Central Highland (1.18%). North and South Central Coast and The Southeast are two regions had the highest unemployment rate</w:t>
      </w:r>
      <w:r w:rsidR="00EF40DB">
        <w:rPr>
          <w:rFonts w:ascii="Times New Roman" w:hAnsi="Times New Roman" w:cs="Times New Roman"/>
          <w:sz w:val="28"/>
          <w:szCs w:val="28"/>
        </w:rPr>
        <w:t>.</w:t>
      </w:r>
      <w:r>
        <w:rPr>
          <w:rFonts w:ascii="Times New Roman" w:hAnsi="Times New Roman" w:cs="Times New Roman"/>
          <w:sz w:val="28"/>
          <w:szCs w:val="28"/>
        </w:rPr>
        <w:t xml:space="preserve"> respectively</w:t>
      </w:r>
      <w:r w:rsidR="00EF40DB">
        <w:rPr>
          <w:rFonts w:ascii="Times New Roman" w:hAnsi="Times New Roman" w:cs="Times New Roman"/>
          <w:sz w:val="28"/>
          <w:szCs w:val="28"/>
        </w:rPr>
        <w:t>.</w:t>
      </w:r>
      <w:r>
        <w:rPr>
          <w:rFonts w:ascii="Times New Roman" w:hAnsi="Times New Roman" w:cs="Times New Roman"/>
          <w:sz w:val="28"/>
          <w:szCs w:val="28"/>
        </w:rPr>
        <w:t xml:space="preserve"> 2.89% and 2.86%. </w:t>
      </w:r>
    </w:p>
    <w:p w:rsidR="004451CB" w:rsidRDefault="004451CB">
      <w:pPr>
        <w:widowControl w:val="0"/>
        <w:overflowPunct w:val="0"/>
        <w:autoSpaceDE w:val="0"/>
        <w:autoSpaceDN w:val="0"/>
        <w:adjustRightInd w:val="0"/>
        <w:spacing w:after="0"/>
        <w:ind w:firstLine="720"/>
        <w:jc w:val="both"/>
        <w:rPr>
          <w:rFonts w:ascii="Times New Roman" w:hAnsi="Times New Roman" w:cs="Times New Roman"/>
          <w:sz w:val="24"/>
          <w:szCs w:val="24"/>
        </w:rPr>
      </w:pPr>
    </w:p>
    <w:p w:rsidR="004451CB" w:rsidRDefault="000019EE">
      <w:pPr>
        <w:jc w:val="center"/>
        <w:rPr>
          <w:rFonts w:ascii="Times New Roman Bold" w:hAnsi="Times New Roman Bold" w:cs="Times New Roman"/>
          <w:spacing w:val="6"/>
          <w:sz w:val="24"/>
          <w:szCs w:val="24"/>
        </w:rPr>
      </w:pPr>
      <w:r>
        <w:rPr>
          <w:rFonts w:ascii="Times New Roman Bold" w:hAnsi="Times New Roman Bold" w:cs="Times New Roman"/>
          <w:b/>
          <w:bCs/>
          <w:spacing w:val="6"/>
          <w:sz w:val="26"/>
          <w:szCs w:val="26"/>
        </w:rPr>
        <w:t>Table 6: Working age underemployment and unemployment rates classified by quarter</w:t>
      </w:r>
      <w:r w:rsidR="00EF40DB">
        <w:rPr>
          <w:rFonts w:ascii="Times New Roman Bold" w:hAnsi="Times New Roman Bold" w:cs="Times New Roman"/>
          <w:b/>
          <w:bCs/>
          <w:spacing w:val="6"/>
          <w:sz w:val="26"/>
          <w:szCs w:val="26"/>
        </w:rPr>
        <w:t>.</w:t>
      </w:r>
      <w:r>
        <w:rPr>
          <w:rFonts w:ascii="Times New Roman Bold" w:hAnsi="Times New Roman Bold" w:cs="Times New Roman"/>
          <w:b/>
          <w:bCs/>
          <w:spacing w:val="6"/>
          <w:sz w:val="26"/>
          <w:szCs w:val="26"/>
        </w:rPr>
        <w:t xml:space="preserve"> 2014 and 2015</w:t>
      </w:r>
    </w:p>
    <w:p w:rsidR="004451CB" w:rsidRDefault="000019EE">
      <w:pPr>
        <w:widowControl w:val="0"/>
        <w:overflowPunct w:val="0"/>
        <w:autoSpaceDE w:val="0"/>
        <w:autoSpaceDN w:val="0"/>
        <w:adjustRightInd w:val="0"/>
        <w:spacing w:after="0"/>
        <w:jc w:val="right"/>
        <w:rPr>
          <w:rFonts w:ascii="Times New Roman" w:hAnsi="Times New Roman" w:cs="Times New Roman"/>
          <w:bCs/>
          <w:i/>
          <w:sz w:val="20"/>
          <w:szCs w:val="26"/>
        </w:rPr>
      </w:pPr>
      <w:r>
        <w:rPr>
          <w:rFonts w:ascii="Times New Roman" w:hAnsi="Times New Roman" w:cs="Times New Roman"/>
          <w:bCs/>
          <w:i/>
          <w:sz w:val="20"/>
          <w:szCs w:val="26"/>
        </w:rPr>
        <w:t>Unit: %</w:t>
      </w:r>
    </w:p>
    <w:tbl>
      <w:tblPr>
        <w:tblW w:w="5000" w:type="pct"/>
        <w:tblLayout w:type="fixed"/>
        <w:tblLook w:val="04A0" w:firstRow="1" w:lastRow="0" w:firstColumn="1" w:lastColumn="0" w:noHBand="0" w:noVBand="1"/>
      </w:tblPr>
      <w:tblGrid>
        <w:gridCol w:w="2932"/>
        <w:gridCol w:w="767"/>
        <w:gridCol w:w="767"/>
        <w:gridCol w:w="767"/>
        <w:gridCol w:w="818"/>
        <w:gridCol w:w="868"/>
        <w:gridCol w:w="767"/>
        <w:gridCol w:w="767"/>
        <w:gridCol w:w="763"/>
      </w:tblGrid>
      <w:tr w:rsidR="004451CB">
        <w:trPr>
          <w:trHeight w:val="315"/>
        </w:trPr>
        <w:tc>
          <w:tcPr>
            <w:tcW w:w="159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Basic characteristic</w:t>
            </w:r>
          </w:p>
        </w:tc>
        <w:tc>
          <w:tcPr>
            <w:tcW w:w="1692" w:type="pct"/>
            <w:gridSpan w:val="4"/>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Bold" w:eastAsia="Times New Roman" w:hAnsi="Times New Roman Bold" w:cs="Times New Roman"/>
                <w:color w:val="000000"/>
                <w:sz w:val="20"/>
                <w:szCs w:val="20"/>
              </w:rPr>
            </w:pPr>
            <w:r>
              <w:rPr>
                <w:rFonts w:ascii="Times New Roman Bold" w:eastAsia="Times New Roman" w:hAnsi="Times New Roman Bold" w:cs="Times New Roman"/>
                <w:color w:val="000000"/>
                <w:sz w:val="20"/>
                <w:szCs w:val="20"/>
              </w:rPr>
              <w:t>Underemployment rate</w:t>
            </w:r>
          </w:p>
        </w:tc>
        <w:tc>
          <w:tcPr>
            <w:tcW w:w="1717" w:type="pct"/>
            <w:gridSpan w:val="4"/>
            <w:tcBorders>
              <w:top w:val="single" w:sz="4" w:space="0" w:color="auto"/>
              <w:left w:val="nil"/>
              <w:bottom w:val="single" w:sz="4" w:space="0" w:color="auto"/>
              <w:right w:val="single" w:sz="4" w:space="0" w:color="000000"/>
            </w:tcBorders>
            <w:shd w:val="clear" w:color="auto" w:fill="auto"/>
            <w:vAlign w:val="center"/>
            <w:hideMark/>
          </w:tcPr>
          <w:p w:rsidR="004451CB" w:rsidRDefault="000019EE">
            <w:pPr>
              <w:spacing w:after="0" w:line="240" w:lineRule="auto"/>
              <w:jc w:val="center"/>
              <w:rPr>
                <w:rFonts w:ascii="Times New Roman Bold" w:eastAsia="Times New Roman" w:hAnsi="Times New Roman Bold" w:cs="Times New Roman"/>
                <w:color w:val="000000"/>
                <w:sz w:val="20"/>
                <w:szCs w:val="20"/>
              </w:rPr>
            </w:pPr>
            <w:r>
              <w:rPr>
                <w:rFonts w:ascii="Times New Roman Bold" w:eastAsia="Times New Roman" w:hAnsi="Times New Roman Bold" w:cs="Times New Roman"/>
                <w:color w:val="000000"/>
                <w:sz w:val="20"/>
                <w:szCs w:val="20"/>
              </w:rPr>
              <w:t>Unemployment rate</w:t>
            </w:r>
          </w:p>
        </w:tc>
      </w:tr>
      <w:tr w:rsidR="004451CB">
        <w:trPr>
          <w:trHeight w:val="350"/>
        </w:trPr>
        <w:tc>
          <w:tcPr>
            <w:tcW w:w="1591" w:type="pct"/>
            <w:vMerge/>
            <w:tcBorders>
              <w:top w:val="single" w:sz="4" w:space="0" w:color="auto"/>
              <w:left w:val="single" w:sz="4" w:space="0" w:color="auto"/>
              <w:bottom w:val="single" w:sz="4" w:space="0" w:color="000000"/>
              <w:right w:val="single" w:sz="4" w:space="0" w:color="auto"/>
            </w:tcBorders>
            <w:vAlign w:val="center"/>
            <w:hideMark/>
          </w:tcPr>
          <w:p w:rsidR="004451CB" w:rsidRDefault="004451CB">
            <w:pPr>
              <w:spacing w:after="0" w:line="240" w:lineRule="auto"/>
              <w:rPr>
                <w:rFonts w:ascii="Times New Roman" w:eastAsia="Times New Roman" w:hAnsi="Times New Roman" w:cs="Times New Roman"/>
                <w:b/>
                <w:color w:val="000000"/>
                <w:sz w:val="20"/>
                <w:szCs w:val="20"/>
              </w:rPr>
            </w:pPr>
          </w:p>
        </w:tc>
        <w:tc>
          <w:tcPr>
            <w:tcW w:w="416"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2/2014</w:t>
            </w:r>
          </w:p>
        </w:tc>
        <w:tc>
          <w:tcPr>
            <w:tcW w:w="416"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3/2014</w:t>
            </w:r>
          </w:p>
        </w:tc>
        <w:tc>
          <w:tcPr>
            <w:tcW w:w="416"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4/2014</w:t>
            </w:r>
          </w:p>
        </w:tc>
        <w:tc>
          <w:tcPr>
            <w:tcW w:w="444"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1/2015</w:t>
            </w:r>
          </w:p>
        </w:tc>
        <w:tc>
          <w:tcPr>
            <w:tcW w:w="471"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2/2014</w:t>
            </w:r>
          </w:p>
        </w:tc>
        <w:tc>
          <w:tcPr>
            <w:tcW w:w="416"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3/2014</w:t>
            </w:r>
          </w:p>
        </w:tc>
        <w:tc>
          <w:tcPr>
            <w:tcW w:w="416"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4/2014</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1/2015</w:t>
            </w:r>
          </w:p>
        </w:tc>
      </w:tr>
      <w:tr w:rsidR="004451CB">
        <w:trPr>
          <w:trHeight w:val="350"/>
        </w:trPr>
        <w:tc>
          <w:tcPr>
            <w:tcW w:w="1591" w:type="pct"/>
            <w:vMerge/>
            <w:tcBorders>
              <w:top w:val="single" w:sz="4" w:space="0" w:color="auto"/>
              <w:left w:val="single" w:sz="4" w:space="0" w:color="auto"/>
              <w:bottom w:val="single" w:sz="4" w:space="0" w:color="000000"/>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6"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6"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6"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44"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71"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6"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6"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4" w:type="pct"/>
            <w:vMerge/>
            <w:tcBorders>
              <w:top w:val="nil"/>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r>
      <w:tr w:rsidR="004451CB">
        <w:trPr>
          <w:trHeight w:hRule="exact" w:val="144"/>
        </w:trPr>
        <w:tc>
          <w:tcPr>
            <w:tcW w:w="1591" w:type="pct"/>
            <w:tcBorders>
              <w:top w:val="nil"/>
              <w:left w:val="single" w:sz="4" w:space="0" w:color="auto"/>
              <w:bottom w:val="nil"/>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b/>
                <w:bCs/>
                <w:color w:val="000000"/>
                <w:sz w:val="20"/>
                <w:szCs w:val="20"/>
              </w:rPr>
            </w:pPr>
          </w:p>
        </w:tc>
        <w:tc>
          <w:tcPr>
            <w:tcW w:w="416"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16"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16"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44"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71"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16"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16" w:type="pct"/>
            <w:tcBorders>
              <w:top w:val="nil"/>
              <w:left w:val="nil"/>
              <w:bottom w:val="nil"/>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c>
          <w:tcPr>
            <w:tcW w:w="414" w:type="pct"/>
            <w:tcBorders>
              <w:top w:val="nil"/>
              <w:left w:val="nil"/>
              <w:bottom w:val="nil"/>
              <w:right w:val="single" w:sz="4" w:space="0" w:color="auto"/>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b/>
                <w:bCs/>
                <w:color w:val="000000"/>
                <w:sz w:val="18"/>
                <w:szCs w:val="18"/>
              </w:rPr>
            </w:pP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Whole country</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2.25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2.30</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2.32</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2.43</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1.84</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2.17</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2.05</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2.43</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Urban</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1.12</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1.20</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1.15</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3.26</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3.27</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3.21</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3.43</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Rural</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2.77</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2.83</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2.82</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3.04</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1.20</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1.67</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1.52</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1.95</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Sex</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44" w:type="pct"/>
            <w:tcBorders>
              <w:top w:val="nil"/>
              <w:left w:val="nil"/>
              <w:bottom w:val="nil"/>
              <w:right w:val="nil"/>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7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Male</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2.42</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lang w:val="vi-VN"/>
              </w:rPr>
            </w:pPr>
            <w:r>
              <w:rPr>
                <w:rFonts w:ascii="Times New Roman" w:eastAsia="Times New Roman" w:hAnsi="Times New Roman" w:cs="Times New Roman"/>
                <w:color w:val="000000"/>
                <w:sz w:val="18"/>
                <w:szCs w:val="18"/>
              </w:rPr>
              <w:t>2.4</w:t>
            </w:r>
            <w:r>
              <w:rPr>
                <w:rFonts w:ascii="Times New Roman" w:eastAsia="Times New Roman" w:hAnsi="Times New Roman" w:cs="Times New Roman"/>
                <w:color w:val="000000"/>
                <w:sz w:val="18"/>
                <w:szCs w:val="18"/>
                <w:lang w:val="vi-VN"/>
              </w:rPr>
              <w:t>0</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2.35</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2.51</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1.88</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2.22</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1.96</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2.42</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2.18</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2.29</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2.33</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1.79</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2.11</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2.15</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2.45</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Social-economic region</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44" w:type="pct"/>
            <w:tcBorders>
              <w:top w:val="nil"/>
              <w:left w:val="nil"/>
              <w:bottom w:val="nil"/>
              <w:right w:val="nil"/>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c>
          <w:tcPr>
            <w:tcW w:w="47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jc w:val="right"/>
              <w:rPr>
                <w:rFonts w:ascii="Times New Roman" w:hAnsi="Times New Roman" w:cs="Times New Roman"/>
                <w:color w:val="000000"/>
                <w:sz w:val="18"/>
                <w:szCs w:val="18"/>
              </w:rPr>
            </w:pP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Northern Midlands and Mountains</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1.36</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1.19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1.60</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1.98</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0.65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0.83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0.74</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1.15</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Red River Delta</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2.86</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2.24</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2.25</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2.07</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2.35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3.02</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2.90</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2.59</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 and South Central Coast</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2.24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2.88</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3.55</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1.86</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2.38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2.14</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2.89</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Central Highland</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2.49</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3.72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1.50</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1.67</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0.94</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1.23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1.18</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Southeast</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0.42</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0.71</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0.62</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highlight w:val="yellow"/>
              </w:rPr>
            </w:pPr>
            <w:r>
              <w:rPr>
                <w:rFonts w:ascii="Times New Roman" w:hAnsi="Times New Roman" w:cs="Times New Roman"/>
                <w:sz w:val="18"/>
                <w:szCs w:val="18"/>
              </w:rPr>
              <w:t>0.74</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2.44</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2.42</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2.16</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sz w:val="18"/>
                <w:szCs w:val="18"/>
                <w:highlight w:val="yellow"/>
              </w:rPr>
            </w:pPr>
            <w:r>
              <w:rPr>
                <w:rFonts w:ascii="Times New Roman" w:hAnsi="Times New Roman" w:cs="Times New Roman"/>
                <w:sz w:val="18"/>
                <w:szCs w:val="18"/>
              </w:rPr>
              <w:t>2.86</w:t>
            </w:r>
          </w:p>
        </w:tc>
      </w:tr>
      <w:tr w:rsidR="004451CB">
        <w:trPr>
          <w:trHeight w:hRule="exact" w:val="227"/>
        </w:trPr>
        <w:tc>
          <w:tcPr>
            <w:tcW w:w="1591"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Mekong River Delta</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3.86</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4.26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4.12</w:t>
            </w:r>
          </w:p>
        </w:tc>
        <w:tc>
          <w:tcPr>
            <w:tcW w:w="444"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3.78</w:t>
            </w:r>
          </w:p>
        </w:tc>
        <w:tc>
          <w:tcPr>
            <w:tcW w:w="47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1.85</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2.04 </w:t>
            </w:r>
          </w:p>
        </w:tc>
        <w:tc>
          <w:tcPr>
            <w:tcW w:w="416"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2.08</w:t>
            </w:r>
          </w:p>
        </w:tc>
        <w:tc>
          <w:tcPr>
            <w:tcW w:w="414" w:type="pct"/>
            <w:tcBorders>
              <w:top w:val="nil"/>
              <w:left w:val="nil"/>
              <w:bottom w:val="nil"/>
              <w:right w:val="single" w:sz="4" w:space="0" w:color="auto"/>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2.69</w:t>
            </w:r>
          </w:p>
        </w:tc>
      </w:tr>
      <w:tr w:rsidR="004451CB">
        <w:trPr>
          <w:trHeight w:hRule="exact" w:val="144"/>
        </w:trPr>
        <w:tc>
          <w:tcPr>
            <w:tcW w:w="1591" w:type="pct"/>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20"/>
                <w:szCs w:val="20"/>
              </w:rPr>
            </w:pPr>
          </w:p>
        </w:tc>
        <w:tc>
          <w:tcPr>
            <w:tcW w:w="416"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16"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16"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44"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71"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16"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16"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14" w:type="pct"/>
            <w:tcBorders>
              <w:top w:val="nil"/>
              <w:left w:val="nil"/>
              <w:bottom w:val="single" w:sz="4" w:space="0" w:color="auto"/>
              <w:right w:val="single" w:sz="4" w:space="0" w:color="auto"/>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r>
    </w:tbl>
    <w:p w:rsidR="004451CB" w:rsidRDefault="004451CB">
      <w:pPr>
        <w:widowControl w:val="0"/>
        <w:overflowPunct w:val="0"/>
        <w:autoSpaceDE w:val="0"/>
        <w:autoSpaceDN w:val="0"/>
        <w:adjustRightInd w:val="0"/>
        <w:spacing w:after="120" w:line="288" w:lineRule="auto"/>
        <w:rPr>
          <w:rFonts w:ascii="Times New Roman" w:hAnsi="Times New Roman" w:cs="Times New Roman"/>
          <w:i/>
        </w:rPr>
      </w:pPr>
    </w:p>
    <w:p w:rsidR="004451CB" w:rsidRDefault="000019EE">
      <w:pPr>
        <w:widowControl w:val="0"/>
        <w:overflowPunct w:val="0"/>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The working age under-employment rate for the whole country increased slightly in Quarter 1</w:t>
      </w:r>
      <w:r w:rsidR="00EF40DB">
        <w:rPr>
          <w:rFonts w:ascii="Times New Roman" w:hAnsi="Times New Roman" w:cs="Times New Roman"/>
          <w:sz w:val="28"/>
          <w:szCs w:val="28"/>
        </w:rPr>
        <w:t>.</w:t>
      </w:r>
      <w:r>
        <w:rPr>
          <w:rFonts w:ascii="Times New Roman" w:hAnsi="Times New Roman" w:cs="Times New Roman"/>
          <w:sz w:val="28"/>
          <w:szCs w:val="28"/>
        </w:rPr>
        <w:t xml:space="preserve"> 2015 in a comparison with that of Quarter 4</w:t>
      </w:r>
      <w:r w:rsidR="00EF40DB">
        <w:rPr>
          <w:rFonts w:ascii="Times New Roman" w:hAnsi="Times New Roman" w:cs="Times New Roman"/>
          <w:sz w:val="28"/>
          <w:szCs w:val="28"/>
        </w:rPr>
        <w:t>.</w:t>
      </w:r>
      <w:r>
        <w:rPr>
          <w:rFonts w:ascii="Times New Roman" w:hAnsi="Times New Roman" w:cs="Times New Roman"/>
          <w:sz w:val="28"/>
          <w:szCs w:val="28"/>
        </w:rPr>
        <w:t xml:space="preserve"> 2014 (2.43% against with 2.32%</w:t>
      </w:r>
      <w:r w:rsidR="00EF40DB">
        <w:rPr>
          <w:rFonts w:ascii="Times New Roman" w:hAnsi="Times New Roman" w:cs="Times New Roman"/>
          <w:sz w:val="28"/>
          <w:szCs w:val="28"/>
        </w:rPr>
        <w:t>.</w:t>
      </w:r>
      <w:r>
        <w:rPr>
          <w:rFonts w:ascii="Times New Roman" w:hAnsi="Times New Roman" w:cs="Times New Roman"/>
          <w:sz w:val="28"/>
          <w:szCs w:val="28"/>
        </w:rPr>
        <w:t xml:space="preserve"> respectively). The under-employment rate in rural areas stood at 3.04%</w:t>
      </w:r>
      <w:r w:rsidR="00EF40DB">
        <w:rPr>
          <w:rFonts w:ascii="Times New Roman" w:hAnsi="Times New Roman" w:cs="Times New Roman"/>
          <w:sz w:val="28"/>
          <w:szCs w:val="28"/>
        </w:rPr>
        <w:t>.</w:t>
      </w:r>
      <w:r>
        <w:rPr>
          <w:rFonts w:ascii="Times New Roman" w:hAnsi="Times New Roman" w:cs="Times New Roman"/>
          <w:sz w:val="28"/>
          <w:szCs w:val="28"/>
        </w:rPr>
        <w:t xml:space="preserve"> equal to nearly </w:t>
      </w:r>
      <w:r>
        <w:rPr>
          <w:rFonts w:ascii="Times New Roman" w:hAnsi="Times New Roman" w:cs="Times New Roman"/>
          <w:sz w:val="28"/>
          <w:szCs w:val="28"/>
          <w:lang w:val="vi-VN"/>
        </w:rPr>
        <w:t>2.</w:t>
      </w:r>
      <w:r>
        <w:rPr>
          <w:rFonts w:ascii="Times New Roman" w:hAnsi="Times New Roman" w:cs="Times New Roman"/>
          <w:sz w:val="28"/>
          <w:szCs w:val="28"/>
        </w:rPr>
        <w:t>7 times higher than that of urban areas (1.15%). Among regions</w:t>
      </w:r>
      <w:r w:rsidR="00EF40DB">
        <w:rPr>
          <w:rFonts w:ascii="Times New Roman" w:hAnsi="Times New Roman" w:cs="Times New Roman"/>
          <w:sz w:val="28"/>
          <w:szCs w:val="28"/>
        </w:rPr>
        <w:t>.</w:t>
      </w:r>
      <w:r>
        <w:rPr>
          <w:rFonts w:ascii="Times New Roman" w:hAnsi="Times New Roman" w:cs="Times New Roman"/>
          <w:sz w:val="28"/>
          <w:szCs w:val="28"/>
        </w:rPr>
        <w:t xml:space="preserve"> the Mekong River Delta has remained occupying the highest rate (about 3.78%)</w:t>
      </w:r>
      <w:r w:rsidR="00EF40DB">
        <w:rPr>
          <w:rFonts w:ascii="Times New Roman" w:hAnsi="Times New Roman" w:cs="Times New Roman"/>
          <w:sz w:val="28"/>
          <w:szCs w:val="28"/>
        </w:rPr>
        <w:t>.</w:t>
      </w:r>
      <w:r>
        <w:rPr>
          <w:rFonts w:ascii="Times New Roman" w:hAnsi="Times New Roman" w:cs="Times New Roman"/>
          <w:sz w:val="28"/>
          <w:szCs w:val="28"/>
        </w:rPr>
        <w:t xml:space="preserve"> (equivalent to 1.6 times higher than that of whole country – standing at 2.4</w:t>
      </w:r>
      <w:r>
        <w:rPr>
          <w:rFonts w:ascii="Times New Roman" w:hAnsi="Times New Roman" w:cs="Times New Roman"/>
          <w:sz w:val="28"/>
          <w:szCs w:val="28"/>
          <w:lang w:val="vi-VN"/>
        </w:rPr>
        <w:t>3</w:t>
      </w:r>
      <w:r>
        <w:rPr>
          <w:rFonts w:ascii="Times New Roman" w:hAnsi="Times New Roman" w:cs="Times New Roman"/>
          <w:sz w:val="28"/>
          <w:szCs w:val="28"/>
        </w:rPr>
        <w:t>%).</w:t>
      </w:r>
    </w:p>
    <w:p w:rsidR="004451CB" w:rsidRDefault="000019EE">
      <w:pPr>
        <w:widowControl w:val="0"/>
        <w:overflowPunct w:val="0"/>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At present</w:t>
      </w:r>
      <w:r w:rsidR="00EF40DB">
        <w:rPr>
          <w:rFonts w:ascii="Times New Roman" w:hAnsi="Times New Roman" w:cs="Times New Roman"/>
          <w:sz w:val="28"/>
          <w:szCs w:val="28"/>
        </w:rPr>
        <w:t>.</w:t>
      </w:r>
      <w:r>
        <w:rPr>
          <w:rFonts w:ascii="Times New Roman" w:hAnsi="Times New Roman" w:cs="Times New Roman"/>
          <w:sz w:val="28"/>
          <w:szCs w:val="28"/>
        </w:rPr>
        <w:t xml:space="preserve"> even that Vietnam’s economy has met difficulties</w:t>
      </w:r>
      <w:r w:rsidR="00EF40DB">
        <w:rPr>
          <w:rFonts w:ascii="Times New Roman" w:hAnsi="Times New Roman" w:cs="Times New Roman"/>
          <w:sz w:val="28"/>
          <w:szCs w:val="28"/>
        </w:rPr>
        <w:t>.</w:t>
      </w:r>
      <w:r>
        <w:rPr>
          <w:rFonts w:ascii="Times New Roman" w:hAnsi="Times New Roman" w:cs="Times New Roman"/>
          <w:sz w:val="28"/>
          <w:szCs w:val="28"/>
        </w:rPr>
        <w:t xml:space="preserve"> the unemployment rate in Vietnam has not changed much. Particularly</w:t>
      </w:r>
      <w:r w:rsidR="00EF40DB">
        <w:rPr>
          <w:rFonts w:ascii="Times New Roman" w:hAnsi="Times New Roman" w:cs="Times New Roman"/>
          <w:sz w:val="28"/>
          <w:szCs w:val="28"/>
        </w:rPr>
        <w:t>.</w:t>
      </w:r>
      <w:r>
        <w:rPr>
          <w:rFonts w:ascii="Times New Roman" w:hAnsi="Times New Roman" w:cs="Times New Roman"/>
          <w:sz w:val="28"/>
          <w:szCs w:val="28"/>
        </w:rPr>
        <w:t xml:space="preserve"> the working </w:t>
      </w:r>
      <w:r>
        <w:rPr>
          <w:rFonts w:ascii="Times New Roman" w:hAnsi="Times New Roman" w:cs="Times New Roman"/>
          <w:sz w:val="28"/>
          <w:szCs w:val="28"/>
        </w:rPr>
        <w:lastRenderedPageBreak/>
        <w:t>age unemployment rate in urban areas has almost unchanged</w:t>
      </w:r>
      <w:r w:rsidR="00EF40DB">
        <w:rPr>
          <w:rFonts w:ascii="Times New Roman" w:hAnsi="Times New Roman" w:cs="Times New Roman"/>
          <w:sz w:val="28"/>
          <w:szCs w:val="28"/>
        </w:rPr>
        <w:t>.</w:t>
      </w:r>
      <w:r>
        <w:rPr>
          <w:rFonts w:ascii="Times New Roman" w:hAnsi="Times New Roman" w:cs="Times New Roman"/>
          <w:sz w:val="28"/>
          <w:szCs w:val="28"/>
        </w:rPr>
        <w:t xml:space="preserve"> just slightly declining from 3.72% in Quarter 1</w:t>
      </w:r>
      <w:r w:rsidR="00EF40DB">
        <w:rPr>
          <w:rFonts w:ascii="Times New Roman" w:hAnsi="Times New Roman" w:cs="Times New Roman"/>
          <w:sz w:val="28"/>
          <w:szCs w:val="28"/>
        </w:rPr>
        <w:t>.</w:t>
      </w:r>
      <w:r>
        <w:rPr>
          <w:rFonts w:ascii="Times New Roman" w:hAnsi="Times New Roman" w:cs="Times New Roman"/>
          <w:sz w:val="28"/>
          <w:szCs w:val="28"/>
        </w:rPr>
        <w:t xml:space="preserve"> 2014 to 3.43% in Quarter 1</w:t>
      </w:r>
      <w:r w:rsidR="00EF40DB">
        <w:rPr>
          <w:rFonts w:ascii="Times New Roman" w:hAnsi="Times New Roman" w:cs="Times New Roman"/>
          <w:sz w:val="28"/>
          <w:szCs w:val="28"/>
        </w:rPr>
        <w:t>.</w:t>
      </w:r>
      <w:r>
        <w:rPr>
          <w:rFonts w:ascii="Times New Roman" w:hAnsi="Times New Roman" w:cs="Times New Roman"/>
          <w:sz w:val="28"/>
          <w:szCs w:val="28"/>
        </w:rPr>
        <w:t xml:space="preserve"> 2015. This could be explained in part by the fact that Vietnam is an agricultural country</w:t>
      </w:r>
      <w:r w:rsidR="00EF40DB">
        <w:rPr>
          <w:rFonts w:ascii="Times New Roman" w:hAnsi="Times New Roman" w:cs="Times New Roman"/>
          <w:sz w:val="28"/>
          <w:szCs w:val="28"/>
        </w:rPr>
        <w:t>.</w:t>
      </w:r>
      <w:r>
        <w:rPr>
          <w:rFonts w:ascii="Times New Roman" w:hAnsi="Times New Roman" w:cs="Times New Roman"/>
          <w:sz w:val="28"/>
          <w:szCs w:val="28"/>
        </w:rPr>
        <w:t xml:space="preserve"> characterized with the less developed economy</w:t>
      </w:r>
      <w:r w:rsidR="00EF40DB">
        <w:rPr>
          <w:rFonts w:ascii="Times New Roman" w:hAnsi="Times New Roman" w:cs="Times New Roman"/>
          <w:sz w:val="28"/>
          <w:szCs w:val="28"/>
        </w:rPr>
        <w:t>.</w:t>
      </w:r>
      <w:r>
        <w:rPr>
          <w:rFonts w:ascii="Times New Roman" w:hAnsi="Times New Roman" w:cs="Times New Roman"/>
          <w:sz w:val="28"/>
          <w:szCs w:val="28"/>
        </w:rPr>
        <w:t xml:space="preserve"> resulting to the people’s low living standards and the insufficiently developed social security system. Therefore</w:t>
      </w:r>
      <w:r w:rsidR="00EF40DB">
        <w:rPr>
          <w:rFonts w:ascii="Times New Roman" w:hAnsi="Times New Roman" w:cs="Times New Roman"/>
          <w:sz w:val="28"/>
          <w:szCs w:val="28"/>
        </w:rPr>
        <w:t>.</w:t>
      </w:r>
      <w:r>
        <w:rPr>
          <w:rFonts w:ascii="Times New Roman" w:hAnsi="Times New Roman" w:cs="Times New Roman"/>
          <w:sz w:val="28"/>
          <w:szCs w:val="28"/>
        </w:rPr>
        <w:t xml:space="preserve"> people prefer involving into any kind of jobs</w:t>
      </w:r>
      <w:r w:rsidR="00EF40DB">
        <w:rPr>
          <w:rFonts w:ascii="Times New Roman" w:hAnsi="Times New Roman" w:cs="Times New Roman"/>
          <w:sz w:val="28"/>
          <w:szCs w:val="28"/>
        </w:rPr>
        <w:t>.</w:t>
      </w:r>
      <w:r>
        <w:rPr>
          <w:rFonts w:ascii="Times New Roman" w:hAnsi="Times New Roman" w:cs="Times New Roman"/>
          <w:sz w:val="28"/>
          <w:szCs w:val="28"/>
        </w:rPr>
        <w:t xml:space="preserve"> even into the informal ones giving unstable</w:t>
      </w:r>
      <w:r w:rsidR="00EF40DB">
        <w:rPr>
          <w:rFonts w:ascii="Times New Roman" w:hAnsi="Times New Roman" w:cs="Times New Roman"/>
          <w:sz w:val="28"/>
          <w:szCs w:val="28"/>
        </w:rPr>
        <w:t>.</w:t>
      </w:r>
      <w:r>
        <w:rPr>
          <w:rFonts w:ascii="Times New Roman" w:hAnsi="Times New Roman" w:cs="Times New Roman"/>
          <w:sz w:val="28"/>
          <w:szCs w:val="28"/>
        </w:rPr>
        <w:t xml:space="preserve"> low earnings and indecent working conditions</w:t>
      </w:r>
      <w:r w:rsidR="00EF40DB">
        <w:rPr>
          <w:rFonts w:ascii="Times New Roman" w:hAnsi="Times New Roman" w:cs="Times New Roman"/>
          <w:sz w:val="28"/>
          <w:szCs w:val="28"/>
        </w:rPr>
        <w:t>.</w:t>
      </w:r>
      <w:r>
        <w:rPr>
          <w:rFonts w:ascii="Times New Roman" w:hAnsi="Times New Roman" w:cs="Times New Roman"/>
          <w:sz w:val="28"/>
          <w:szCs w:val="28"/>
        </w:rPr>
        <w:t xml:space="preserve"> in order to support themselves and their families</w:t>
      </w:r>
      <w:r w:rsidR="00EF40DB">
        <w:rPr>
          <w:rFonts w:ascii="Times New Roman" w:hAnsi="Times New Roman" w:cs="Times New Roman"/>
          <w:sz w:val="28"/>
          <w:szCs w:val="28"/>
        </w:rPr>
        <w:t>.</w:t>
      </w:r>
      <w:r>
        <w:rPr>
          <w:rFonts w:ascii="Times New Roman" w:hAnsi="Times New Roman" w:cs="Times New Roman"/>
          <w:sz w:val="28"/>
          <w:szCs w:val="28"/>
        </w:rPr>
        <w:t xml:space="preserve"> rather than being into long-term unemployment to look for better jobs. </w:t>
      </w:r>
    </w:p>
    <w:p w:rsidR="004451CB" w:rsidRDefault="000019EE">
      <w:pPr>
        <w:widowControl w:val="0"/>
        <w:overflowPunct w:val="0"/>
        <w:autoSpaceDE w:val="0"/>
        <w:autoSpaceDN w:val="0"/>
        <w:adjustRightInd w:val="0"/>
        <w:spacing w:before="60" w:after="60"/>
        <w:jc w:val="center"/>
        <w:rPr>
          <w:rFonts w:ascii="Times New Roman Bold" w:hAnsi="Times New Roman Bold" w:cs="Times New Roman"/>
          <w:b/>
          <w:bCs/>
          <w:spacing w:val="6"/>
          <w:sz w:val="26"/>
          <w:szCs w:val="26"/>
        </w:rPr>
      </w:pPr>
      <w:r>
        <w:rPr>
          <w:rFonts w:ascii="Times New Roman Bold" w:hAnsi="Times New Roman Bold" w:cs="Times New Roman"/>
          <w:b/>
          <w:bCs/>
          <w:spacing w:val="6"/>
          <w:sz w:val="26"/>
          <w:szCs w:val="26"/>
        </w:rPr>
        <w:t>Table 7: Working age u</w:t>
      </w:r>
      <w:r>
        <w:rPr>
          <w:rFonts w:ascii="Times New Roman" w:hAnsi="Times New Roman"/>
          <w:b/>
          <w:sz w:val="26"/>
          <w:szCs w:val="26"/>
        </w:rPr>
        <w:t>nderemployment and unemployment rates</w:t>
      </w:r>
      <w:r w:rsidR="00EF40DB">
        <w:rPr>
          <w:rFonts w:ascii="Times New Roman" w:hAnsi="Times New Roman"/>
          <w:b/>
          <w:sz w:val="26"/>
          <w:szCs w:val="26"/>
        </w:rPr>
        <w:t>.</w:t>
      </w:r>
      <w:r>
        <w:rPr>
          <w:rFonts w:ascii="Times New Roman" w:hAnsi="Times New Roman"/>
          <w:b/>
          <w:sz w:val="26"/>
          <w:szCs w:val="26"/>
        </w:rPr>
        <w:t xml:space="preserve"> 2009-2015</w:t>
      </w:r>
    </w:p>
    <w:p w:rsidR="004451CB" w:rsidRDefault="000019EE">
      <w:pPr>
        <w:spacing w:after="0" w:line="288" w:lineRule="auto"/>
        <w:jc w:val="right"/>
        <w:rPr>
          <w:rFonts w:ascii="Times New Roman" w:hAnsi="Times New Roman"/>
          <w:bCs/>
          <w:i/>
          <w:sz w:val="20"/>
          <w:szCs w:val="20"/>
        </w:rPr>
      </w:pPr>
      <w:r>
        <w:rPr>
          <w:rFonts w:ascii="Times New Roman" w:hAnsi="Times New Roman"/>
          <w:bCs/>
          <w:i/>
          <w:sz w:val="20"/>
          <w:szCs w:val="20"/>
        </w:rPr>
        <w:t>Unit: %</w:t>
      </w:r>
    </w:p>
    <w:tbl>
      <w:tblPr>
        <w:tblW w:w="5000" w:type="pct"/>
        <w:tblLayout w:type="fixed"/>
        <w:tblLook w:val="04A0" w:firstRow="1" w:lastRow="0" w:firstColumn="1" w:lastColumn="0" w:noHBand="0" w:noVBand="1"/>
      </w:tblPr>
      <w:tblGrid>
        <w:gridCol w:w="4508"/>
        <w:gridCol w:w="909"/>
        <w:gridCol w:w="721"/>
        <w:gridCol w:w="809"/>
        <w:gridCol w:w="630"/>
        <w:gridCol w:w="811"/>
        <w:gridCol w:w="828"/>
      </w:tblGrid>
      <w:tr w:rsidR="004451CB">
        <w:trPr>
          <w:trHeight w:val="315"/>
        </w:trPr>
        <w:tc>
          <w:tcPr>
            <w:tcW w:w="24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after="0" w:line="240" w:lineRule="auto"/>
              <w:jc w:val="center"/>
              <w:rPr>
                <w:rFonts w:ascii="Times New Roman Bold" w:eastAsia="Times New Roman" w:hAnsi="Times New Roman Bold" w:cs="Times New Roman"/>
                <w:b/>
                <w:bCs/>
                <w:color w:val="000000"/>
                <w:sz w:val="20"/>
                <w:szCs w:val="20"/>
              </w:rPr>
            </w:pPr>
            <w:r>
              <w:rPr>
                <w:rFonts w:ascii="Times New Roman Bold" w:eastAsia="Times New Roman" w:hAnsi="Times New Roman Bold" w:cs="Times New Roman"/>
                <w:b/>
                <w:bCs/>
                <w:color w:val="000000"/>
                <w:sz w:val="20"/>
                <w:szCs w:val="20"/>
              </w:rPr>
              <w:t>Survey period</w:t>
            </w:r>
          </w:p>
        </w:tc>
        <w:tc>
          <w:tcPr>
            <w:tcW w:w="1323" w:type="pct"/>
            <w:gridSpan w:val="3"/>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after="0" w:line="288" w:lineRule="auto"/>
              <w:jc w:val="center"/>
              <w:rPr>
                <w:rFonts w:ascii="Times New Roman" w:eastAsia="Batang" w:hAnsi="Times New Roman"/>
                <w:lang w:eastAsia="ko-KR"/>
              </w:rPr>
            </w:pPr>
            <w:r>
              <w:rPr>
                <w:rFonts w:ascii="Times New Roman" w:hAnsi="Times New Roman"/>
              </w:rPr>
              <w:t xml:space="preserve">Underemployment rate </w:t>
            </w:r>
          </w:p>
        </w:tc>
        <w:tc>
          <w:tcPr>
            <w:tcW w:w="1231" w:type="pct"/>
            <w:gridSpan w:val="3"/>
            <w:tcBorders>
              <w:top w:val="single" w:sz="4" w:space="0" w:color="auto"/>
              <w:left w:val="nil"/>
              <w:bottom w:val="single" w:sz="4" w:space="0" w:color="auto"/>
              <w:right w:val="single" w:sz="4" w:space="0" w:color="auto"/>
            </w:tcBorders>
            <w:shd w:val="clear" w:color="auto" w:fill="auto"/>
            <w:vAlign w:val="center"/>
            <w:hideMark/>
          </w:tcPr>
          <w:p w:rsidR="004451CB" w:rsidRDefault="000019EE">
            <w:pPr>
              <w:spacing w:after="0" w:line="288" w:lineRule="auto"/>
              <w:jc w:val="center"/>
              <w:rPr>
                <w:rFonts w:ascii="Times New Roman" w:eastAsia="Batang" w:hAnsi="Times New Roman"/>
                <w:lang w:eastAsia="ko-KR"/>
              </w:rPr>
            </w:pPr>
            <w:r>
              <w:rPr>
                <w:rFonts w:ascii="Times New Roman" w:hAnsi="Times New Roman"/>
              </w:rPr>
              <w:t>Unemployment rate</w:t>
            </w:r>
          </w:p>
        </w:tc>
      </w:tr>
      <w:tr w:rsidR="004451CB">
        <w:trPr>
          <w:trHeight w:val="515"/>
        </w:trPr>
        <w:tc>
          <w:tcPr>
            <w:tcW w:w="2446" w:type="pct"/>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rPr>
                <w:rFonts w:ascii="Times New Roman Bold" w:eastAsia="Times New Roman" w:hAnsi="Times New Roman Bold" w:cs="Times New Roman"/>
                <w:b/>
                <w:bCs/>
                <w:color w:val="000000"/>
                <w:sz w:val="20"/>
                <w:szCs w:val="20"/>
              </w:rPr>
            </w:pPr>
          </w:p>
        </w:tc>
        <w:tc>
          <w:tcPr>
            <w:tcW w:w="493"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88" w:lineRule="auto"/>
              <w:ind w:left="-826" w:right="-108" w:firstLine="718"/>
              <w:jc w:val="center"/>
              <w:rPr>
                <w:rFonts w:ascii="Times New Roman" w:eastAsia="Batang" w:hAnsi="Times New Roman"/>
                <w:lang w:eastAsia="ko-KR"/>
              </w:rPr>
            </w:pPr>
            <w:r>
              <w:rPr>
                <w:rFonts w:ascii="Times New Roman" w:eastAsia="Batang" w:hAnsi="Times New Roman"/>
                <w:lang w:eastAsia="ko-KR"/>
              </w:rPr>
              <w:t>Total</w:t>
            </w:r>
          </w:p>
        </w:tc>
        <w:tc>
          <w:tcPr>
            <w:tcW w:w="391"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88" w:lineRule="auto"/>
              <w:ind w:left="-108" w:right="-108"/>
              <w:jc w:val="center"/>
              <w:rPr>
                <w:rFonts w:ascii="Times New Roman" w:eastAsia="Batang" w:hAnsi="Times New Roman"/>
                <w:lang w:eastAsia="ko-KR"/>
              </w:rPr>
            </w:pPr>
            <w:r>
              <w:rPr>
                <w:rFonts w:ascii="Times New Roman" w:eastAsia="Batang" w:hAnsi="Times New Roman"/>
                <w:lang w:eastAsia="ko-KR"/>
              </w:rPr>
              <w:t>Urban</w:t>
            </w:r>
          </w:p>
        </w:tc>
        <w:tc>
          <w:tcPr>
            <w:tcW w:w="439"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88" w:lineRule="auto"/>
              <w:ind w:left="-826" w:right="-108" w:firstLine="718"/>
              <w:jc w:val="center"/>
              <w:rPr>
                <w:rFonts w:ascii="Times New Roman" w:eastAsia="Batang" w:hAnsi="Times New Roman"/>
                <w:lang w:eastAsia="ko-KR"/>
              </w:rPr>
            </w:pPr>
            <w:r>
              <w:rPr>
                <w:rFonts w:ascii="Times New Roman" w:eastAsia="Batang" w:hAnsi="Times New Roman"/>
                <w:lang w:eastAsia="ko-KR"/>
              </w:rPr>
              <w:t>Rural</w:t>
            </w:r>
          </w:p>
        </w:tc>
        <w:tc>
          <w:tcPr>
            <w:tcW w:w="342"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88" w:lineRule="auto"/>
              <w:ind w:left="-108" w:right="-108"/>
              <w:jc w:val="center"/>
              <w:rPr>
                <w:rFonts w:ascii="Times New Roman" w:eastAsia="Batang" w:hAnsi="Times New Roman"/>
                <w:lang w:eastAsia="ko-KR"/>
              </w:rPr>
            </w:pPr>
            <w:r>
              <w:rPr>
                <w:rFonts w:ascii="Times New Roman" w:eastAsia="Batang" w:hAnsi="Times New Roman"/>
                <w:lang w:eastAsia="ko-KR"/>
              </w:rPr>
              <w:t>Total</w:t>
            </w:r>
          </w:p>
        </w:tc>
        <w:tc>
          <w:tcPr>
            <w:tcW w:w="440"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88" w:lineRule="auto"/>
              <w:ind w:left="-826" w:right="-108" w:firstLine="718"/>
              <w:jc w:val="center"/>
              <w:rPr>
                <w:rFonts w:ascii="Times New Roman" w:eastAsia="Batang" w:hAnsi="Times New Roman"/>
                <w:lang w:eastAsia="ko-KR"/>
              </w:rPr>
            </w:pPr>
            <w:r>
              <w:rPr>
                <w:rFonts w:ascii="Times New Roman" w:eastAsia="Batang" w:hAnsi="Times New Roman"/>
                <w:lang w:eastAsia="ko-KR"/>
              </w:rPr>
              <w:t>Urban</w:t>
            </w:r>
          </w:p>
        </w:tc>
        <w:tc>
          <w:tcPr>
            <w:tcW w:w="449" w:type="pct"/>
            <w:tcBorders>
              <w:top w:val="nil"/>
              <w:left w:val="nil"/>
              <w:bottom w:val="single" w:sz="4" w:space="0" w:color="auto"/>
              <w:right w:val="single" w:sz="4" w:space="0" w:color="auto"/>
            </w:tcBorders>
            <w:shd w:val="clear" w:color="auto" w:fill="auto"/>
            <w:vAlign w:val="center"/>
            <w:hideMark/>
          </w:tcPr>
          <w:p w:rsidR="004451CB" w:rsidRDefault="000019EE">
            <w:pPr>
              <w:spacing w:after="0" w:line="288" w:lineRule="auto"/>
              <w:ind w:left="-108" w:right="-108"/>
              <w:jc w:val="center"/>
              <w:rPr>
                <w:rFonts w:ascii="Times New Roman" w:eastAsia="Batang" w:hAnsi="Times New Roman"/>
                <w:lang w:eastAsia="ko-KR"/>
              </w:rPr>
            </w:pPr>
            <w:r>
              <w:rPr>
                <w:rFonts w:ascii="Times New Roman" w:eastAsia="Batang" w:hAnsi="Times New Roman"/>
                <w:lang w:eastAsia="ko-KR"/>
              </w:rPr>
              <w:t>Rural</w:t>
            </w:r>
          </w:p>
        </w:tc>
      </w:tr>
      <w:tr w:rsidR="004451CB">
        <w:trPr>
          <w:trHeight w:val="285"/>
        </w:trPr>
        <w:tc>
          <w:tcPr>
            <w:tcW w:w="2446"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sz w:val="20"/>
                <w:szCs w:val="20"/>
              </w:rPr>
            </w:pPr>
            <w:r>
              <w:rPr>
                <w:rFonts w:ascii="Times New Roman" w:hAnsi="Times New Roman"/>
                <w:b/>
                <w:sz w:val="20"/>
                <w:szCs w:val="20"/>
              </w:rPr>
              <w:t>2009</w:t>
            </w:r>
          </w:p>
        </w:tc>
        <w:tc>
          <w:tcPr>
            <w:tcW w:w="493"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5.41</w:t>
            </w:r>
          </w:p>
        </w:tc>
        <w:tc>
          <w:tcPr>
            <w:tcW w:w="39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3.19</w:t>
            </w:r>
          </w:p>
        </w:tc>
        <w:tc>
          <w:tcPr>
            <w:tcW w:w="439"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6.30</w:t>
            </w:r>
          </w:p>
        </w:tc>
        <w:tc>
          <w:tcPr>
            <w:tcW w:w="342"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2.90</w:t>
            </w:r>
          </w:p>
        </w:tc>
        <w:tc>
          <w:tcPr>
            <w:tcW w:w="440"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4.60</w:t>
            </w:r>
          </w:p>
        </w:tc>
        <w:tc>
          <w:tcPr>
            <w:tcW w:w="449" w:type="pct"/>
            <w:tcBorders>
              <w:top w:val="nil"/>
              <w:left w:val="nil"/>
              <w:bottom w:val="nil"/>
              <w:right w:val="single" w:sz="4" w:space="0" w:color="auto"/>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2.25</w:t>
            </w:r>
          </w:p>
        </w:tc>
      </w:tr>
      <w:tr w:rsidR="004451CB">
        <w:trPr>
          <w:trHeight w:val="285"/>
        </w:trPr>
        <w:tc>
          <w:tcPr>
            <w:tcW w:w="2446"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bCs/>
                <w:sz w:val="20"/>
                <w:szCs w:val="20"/>
              </w:rPr>
            </w:pPr>
            <w:r>
              <w:rPr>
                <w:rFonts w:ascii="Times New Roman" w:hAnsi="Times New Roman"/>
                <w:b/>
                <w:sz w:val="20"/>
                <w:szCs w:val="20"/>
              </w:rPr>
              <w:t>2010</w:t>
            </w:r>
          </w:p>
        </w:tc>
        <w:tc>
          <w:tcPr>
            <w:tcW w:w="493"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3.57</w:t>
            </w:r>
          </w:p>
        </w:tc>
        <w:tc>
          <w:tcPr>
            <w:tcW w:w="39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1.82</w:t>
            </w:r>
          </w:p>
        </w:tc>
        <w:tc>
          <w:tcPr>
            <w:tcW w:w="439"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4.26</w:t>
            </w:r>
          </w:p>
        </w:tc>
        <w:tc>
          <w:tcPr>
            <w:tcW w:w="342"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2.88</w:t>
            </w:r>
          </w:p>
        </w:tc>
        <w:tc>
          <w:tcPr>
            <w:tcW w:w="440"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4.29</w:t>
            </w:r>
          </w:p>
        </w:tc>
        <w:tc>
          <w:tcPr>
            <w:tcW w:w="449" w:type="pct"/>
            <w:tcBorders>
              <w:top w:val="nil"/>
              <w:left w:val="nil"/>
              <w:bottom w:val="nil"/>
              <w:right w:val="single" w:sz="4" w:space="0" w:color="auto"/>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2.30</w:t>
            </w:r>
          </w:p>
        </w:tc>
      </w:tr>
      <w:tr w:rsidR="004451CB">
        <w:trPr>
          <w:trHeight w:val="285"/>
        </w:trPr>
        <w:tc>
          <w:tcPr>
            <w:tcW w:w="2446"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bCs/>
                <w:sz w:val="20"/>
                <w:szCs w:val="20"/>
              </w:rPr>
            </w:pPr>
            <w:r>
              <w:rPr>
                <w:rFonts w:ascii="Times New Roman" w:hAnsi="Times New Roman"/>
                <w:b/>
                <w:sz w:val="20"/>
                <w:szCs w:val="20"/>
              </w:rPr>
              <w:t xml:space="preserve">2011 </w:t>
            </w:r>
          </w:p>
        </w:tc>
        <w:tc>
          <w:tcPr>
            <w:tcW w:w="493"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2.96</w:t>
            </w:r>
          </w:p>
        </w:tc>
        <w:tc>
          <w:tcPr>
            <w:tcW w:w="39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1.58</w:t>
            </w:r>
          </w:p>
        </w:tc>
        <w:tc>
          <w:tcPr>
            <w:tcW w:w="439"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3.56</w:t>
            </w:r>
          </w:p>
        </w:tc>
        <w:tc>
          <w:tcPr>
            <w:tcW w:w="342"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2.22</w:t>
            </w:r>
          </w:p>
        </w:tc>
        <w:tc>
          <w:tcPr>
            <w:tcW w:w="440"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3.60</w:t>
            </w:r>
          </w:p>
        </w:tc>
        <w:tc>
          <w:tcPr>
            <w:tcW w:w="449" w:type="pct"/>
            <w:tcBorders>
              <w:top w:val="nil"/>
              <w:left w:val="nil"/>
              <w:bottom w:val="nil"/>
              <w:right w:val="single" w:sz="4" w:space="0" w:color="auto"/>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1.60</w:t>
            </w:r>
          </w:p>
        </w:tc>
      </w:tr>
      <w:tr w:rsidR="004451CB">
        <w:trPr>
          <w:trHeight w:val="285"/>
        </w:trPr>
        <w:tc>
          <w:tcPr>
            <w:tcW w:w="2446"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bCs/>
                <w:sz w:val="20"/>
                <w:szCs w:val="20"/>
              </w:rPr>
            </w:pPr>
            <w:r>
              <w:rPr>
                <w:rFonts w:ascii="Times New Roman" w:hAnsi="Times New Roman"/>
                <w:b/>
                <w:bCs/>
                <w:sz w:val="20"/>
                <w:szCs w:val="20"/>
              </w:rPr>
              <w:t>2012</w:t>
            </w:r>
          </w:p>
        </w:tc>
        <w:tc>
          <w:tcPr>
            <w:tcW w:w="493"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2.74</w:t>
            </w:r>
          </w:p>
        </w:tc>
        <w:tc>
          <w:tcPr>
            <w:tcW w:w="39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1.56</w:t>
            </w:r>
          </w:p>
        </w:tc>
        <w:tc>
          <w:tcPr>
            <w:tcW w:w="439"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3.27</w:t>
            </w:r>
          </w:p>
        </w:tc>
        <w:tc>
          <w:tcPr>
            <w:tcW w:w="342"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1.96</w:t>
            </w:r>
          </w:p>
        </w:tc>
        <w:tc>
          <w:tcPr>
            <w:tcW w:w="440"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3.21</w:t>
            </w:r>
          </w:p>
        </w:tc>
        <w:tc>
          <w:tcPr>
            <w:tcW w:w="449" w:type="pct"/>
            <w:tcBorders>
              <w:top w:val="nil"/>
              <w:left w:val="nil"/>
              <w:bottom w:val="nil"/>
              <w:right w:val="single" w:sz="4" w:space="0" w:color="auto"/>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1.39</w:t>
            </w:r>
          </w:p>
        </w:tc>
      </w:tr>
      <w:tr w:rsidR="004451CB">
        <w:trPr>
          <w:trHeight w:val="285"/>
        </w:trPr>
        <w:tc>
          <w:tcPr>
            <w:tcW w:w="2446" w:type="pct"/>
            <w:tcBorders>
              <w:top w:val="nil"/>
              <w:left w:val="single" w:sz="4" w:space="0" w:color="auto"/>
              <w:bottom w:val="nil"/>
              <w:right w:val="nil"/>
            </w:tcBorders>
            <w:shd w:val="clear" w:color="auto" w:fill="auto"/>
            <w:vAlign w:val="center"/>
            <w:hideMark/>
          </w:tcPr>
          <w:p w:rsidR="004451CB" w:rsidRDefault="000019EE">
            <w:pPr>
              <w:spacing w:after="0" w:line="288" w:lineRule="auto"/>
              <w:rPr>
                <w:rFonts w:ascii="Times New Roman" w:hAnsi="Times New Roman"/>
                <w:b/>
                <w:bCs/>
                <w:sz w:val="20"/>
                <w:szCs w:val="20"/>
              </w:rPr>
            </w:pPr>
            <w:r>
              <w:rPr>
                <w:rFonts w:ascii="Times New Roman" w:hAnsi="Times New Roman"/>
                <w:b/>
                <w:bCs/>
                <w:sz w:val="20"/>
                <w:szCs w:val="20"/>
              </w:rPr>
              <w:t>2013</w:t>
            </w:r>
          </w:p>
        </w:tc>
        <w:tc>
          <w:tcPr>
            <w:tcW w:w="493"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2.75</w:t>
            </w:r>
          </w:p>
        </w:tc>
        <w:tc>
          <w:tcPr>
            <w:tcW w:w="391"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1.48</w:t>
            </w:r>
          </w:p>
        </w:tc>
        <w:tc>
          <w:tcPr>
            <w:tcW w:w="439"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3.31</w:t>
            </w:r>
          </w:p>
        </w:tc>
        <w:tc>
          <w:tcPr>
            <w:tcW w:w="342"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2.18</w:t>
            </w:r>
          </w:p>
        </w:tc>
        <w:tc>
          <w:tcPr>
            <w:tcW w:w="440" w:type="pct"/>
            <w:tcBorders>
              <w:top w:val="nil"/>
              <w:left w:val="nil"/>
              <w:bottom w:val="nil"/>
              <w:right w:val="nil"/>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3.59</w:t>
            </w:r>
          </w:p>
        </w:tc>
        <w:tc>
          <w:tcPr>
            <w:tcW w:w="449" w:type="pct"/>
            <w:tcBorders>
              <w:top w:val="nil"/>
              <w:left w:val="nil"/>
              <w:bottom w:val="nil"/>
              <w:right w:val="single" w:sz="4" w:space="0" w:color="auto"/>
            </w:tcBorders>
            <w:shd w:val="clear" w:color="auto" w:fill="auto"/>
            <w:vAlign w:val="center"/>
            <w:hideMark/>
          </w:tcPr>
          <w:p w:rsidR="004451CB" w:rsidRDefault="000019EE">
            <w:pPr>
              <w:spacing w:after="0" w:line="240" w:lineRule="auto"/>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1.54</w:t>
            </w:r>
          </w:p>
        </w:tc>
      </w:tr>
      <w:tr w:rsidR="004451CB">
        <w:trPr>
          <w:trHeight w:hRule="exact" w:val="288"/>
        </w:trPr>
        <w:tc>
          <w:tcPr>
            <w:tcW w:w="2446" w:type="pct"/>
            <w:tcBorders>
              <w:top w:val="nil"/>
              <w:left w:val="single" w:sz="4" w:space="0" w:color="auto"/>
              <w:bottom w:val="nil"/>
              <w:right w:val="nil"/>
            </w:tcBorders>
            <w:shd w:val="clear" w:color="auto" w:fill="auto"/>
            <w:vAlign w:val="center"/>
            <w:hideMark/>
          </w:tcPr>
          <w:p w:rsidR="004451CB" w:rsidRPr="000019EE" w:rsidRDefault="000019EE">
            <w:pPr>
              <w:spacing w:after="0" w:line="288" w:lineRule="auto"/>
              <w:rPr>
                <w:rFonts w:ascii="Times New Roman" w:hAnsi="Times New Roman"/>
                <w:b/>
                <w:bCs/>
                <w:sz w:val="20"/>
                <w:szCs w:val="20"/>
              </w:rPr>
            </w:pPr>
            <w:r w:rsidRPr="000019EE">
              <w:rPr>
                <w:rFonts w:ascii="Times New Roman" w:hAnsi="Times New Roman"/>
                <w:b/>
                <w:bCs/>
                <w:sz w:val="20"/>
                <w:szCs w:val="20"/>
              </w:rPr>
              <w:t>2014</w:t>
            </w:r>
          </w:p>
        </w:tc>
        <w:tc>
          <w:tcPr>
            <w:tcW w:w="493" w:type="pct"/>
            <w:tcBorders>
              <w:top w:val="nil"/>
              <w:left w:val="nil"/>
              <w:bottom w:val="nil"/>
              <w:right w:val="nil"/>
            </w:tcBorders>
            <w:shd w:val="clear" w:color="auto" w:fill="auto"/>
            <w:vAlign w:val="center"/>
            <w:hideMark/>
          </w:tcPr>
          <w:p w:rsidR="004451CB" w:rsidRPr="000019EE" w:rsidRDefault="000019EE" w:rsidP="000019EE">
            <w:pPr>
              <w:spacing w:after="0" w:line="240" w:lineRule="auto"/>
              <w:contextualSpacing/>
              <w:jc w:val="right"/>
              <w:rPr>
                <w:rFonts w:ascii="Times New Roman" w:eastAsia="Times New Roman" w:hAnsi="Times New Roman" w:cs="Times New Roman"/>
                <w:b/>
                <w:bCs/>
                <w:sz w:val="18"/>
                <w:szCs w:val="18"/>
              </w:rPr>
            </w:pPr>
            <w:r w:rsidRPr="000019EE">
              <w:rPr>
                <w:rFonts w:ascii="Times New Roman" w:eastAsia="Times New Roman" w:hAnsi="Times New Roman" w:cs="Times New Roman"/>
                <w:b/>
                <w:bCs/>
                <w:sz w:val="18"/>
                <w:szCs w:val="18"/>
              </w:rPr>
              <w:t xml:space="preserve">   2</w:t>
            </w:r>
            <w:r w:rsidR="00EF40DB">
              <w:rPr>
                <w:rFonts w:ascii="Times New Roman" w:eastAsia="Times New Roman" w:hAnsi="Times New Roman" w:cs="Times New Roman"/>
                <w:b/>
                <w:bCs/>
                <w:sz w:val="18"/>
                <w:szCs w:val="18"/>
              </w:rPr>
              <w:t>.</w:t>
            </w:r>
            <w:r w:rsidRPr="000019EE">
              <w:rPr>
                <w:rFonts w:ascii="Times New Roman" w:eastAsia="Times New Roman" w:hAnsi="Times New Roman" w:cs="Times New Roman"/>
                <w:b/>
                <w:bCs/>
                <w:sz w:val="18"/>
                <w:szCs w:val="18"/>
              </w:rPr>
              <w:t>40</w:t>
            </w:r>
          </w:p>
        </w:tc>
        <w:tc>
          <w:tcPr>
            <w:tcW w:w="391" w:type="pct"/>
            <w:tcBorders>
              <w:top w:val="nil"/>
              <w:left w:val="nil"/>
              <w:bottom w:val="nil"/>
              <w:right w:val="nil"/>
            </w:tcBorders>
            <w:shd w:val="clear" w:color="auto" w:fill="auto"/>
            <w:vAlign w:val="center"/>
            <w:hideMark/>
          </w:tcPr>
          <w:p w:rsidR="004451CB" w:rsidRPr="000019EE" w:rsidRDefault="000019EE" w:rsidP="000019EE">
            <w:pPr>
              <w:spacing w:after="0" w:line="240" w:lineRule="auto"/>
              <w:contextualSpacing/>
              <w:jc w:val="right"/>
              <w:rPr>
                <w:rFonts w:ascii="Times New Roman" w:eastAsia="Times New Roman" w:hAnsi="Times New Roman" w:cs="Times New Roman"/>
                <w:b/>
                <w:bCs/>
                <w:sz w:val="18"/>
                <w:szCs w:val="18"/>
              </w:rPr>
            </w:pPr>
            <w:r w:rsidRPr="000019EE">
              <w:rPr>
                <w:rFonts w:ascii="Times New Roman" w:eastAsia="Times New Roman" w:hAnsi="Times New Roman" w:cs="Times New Roman"/>
                <w:b/>
                <w:bCs/>
                <w:sz w:val="18"/>
                <w:szCs w:val="18"/>
              </w:rPr>
              <w:t xml:space="preserve">    1</w:t>
            </w:r>
            <w:r w:rsidR="00EF40DB">
              <w:rPr>
                <w:rFonts w:ascii="Times New Roman" w:eastAsia="Times New Roman" w:hAnsi="Times New Roman" w:cs="Times New Roman"/>
                <w:b/>
                <w:bCs/>
                <w:sz w:val="18"/>
                <w:szCs w:val="18"/>
              </w:rPr>
              <w:t>.</w:t>
            </w:r>
            <w:r w:rsidRPr="000019EE">
              <w:rPr>
                <w:rFonts w:ascii="Times New Roman" w:eastAsia="Times New Roman" w:hAnsi="Times New Roman" w:cs="Times New Roman"/>
                <w:b/>
                <w:bCs/>
                <w:sz w:val="18"/>
                <w:szCs w:val="18"/>
              </w:rPr>
              <w:t>20</w:t>
            </w:r>
          </w:p>
        </w:tc>
        <w:tc>
          <w:tcPr>
            <w:tcW w:w="439" w:type="pct"/>
            <w:tcBorders>
              <w:top w:val="nil"/>
              <w:left w:val="nil"/>
              <w:bottom w:val="nil"/>
              <w:right w:val="nil"/>
            </w:tcBorders>
            <w:shd w:val="clear" w:color="auto" w:fill="auto"/>
            <w:vAlign w:val="center"/>
            <w:hideMark/>
          </w:tcPr>
          <w:p w:rsidR="004451CB" w:rsidRPr="000019EE" w:rsidRDefault="000019EE" w:rsidP="000019EE">
            <w:pPr>
              <w:spacing w:after="0" w:line="240" w:lineRule="auto"/>
              <w:contextualSpacing/>
              <w:jc w:val="right"/>
              <w:rPr>
                <w:rFonts w:ascii="Times New Roman" w:eastAsia="Times New Roman" w:hAnsi="Times New Roman" w:cs="Times New Roman"/>
                <w:b/>
                <w:bCs/>
                <w:sz w:val="18"/>
                <w:szCs w:val="18"/>
              </w:rPr>
            </w:pPr>
            <w:r w:rsidRPr="000019EE">
              <w:rPr>
                <w:rFonts w:ascii="Times New Roman" w:eastAsia="Times New Roman" w:hAnsi="Times New Roman" w:cs="Times New Roman"/>
                <w:b/>
                <w:bCs/>
                <w:sz w:val="18"/>
                <w:szCs w:val="18"/>
              </w:rPr>
              <w:t xml:space="preserve">    2</w:t>
            </w:r>
            <w:r w:rsidR="00EF40DB">
              <w:rPr>
                <w:rFonts w:ascii="Times New Roman" w:eastAsia="Times New Roman" w:hAnsi="Times New Roman" w:cs="Times New Roman"/>
                <w:b/>
                <w:bCs/>
                <w:sz w:val="18"/>
                <w:szCs w:val="18"/>
              </w:rPr>
              <w:t>.</w:t>
            </w:r>
            <w:r w:rsidRPr="000019EE">
              <w:rPr>
                <w:rFonts w:ascii="Times New Roman" w:eastAsia="Times New Roman" w:hAnsi="Times New Roman" w:cs="Times New Roman"/>
                <w:b/>
                <w:bCs/>
                <w:sz w:val="18"/>
                <w:szCs w:val="18"/>
              </w:rPr>
              <w:t>96</w:t>
            </w:r>
          </w:p>
        </w:tc>
        <w:tc>
          <w:tcPr>
            <w:tcW w:w="342" w:type="pct"/>
            <w:tcBorders>
              <w:top w:val="nil"/>
              <w:left w:val="nil"/>
              <w:bottom w:val="nil"/>
              <w:right w:val="nil"/>
            </w:tcBorders>
            <w:shd w:val="clear" w:color="auto" w:fill="auto"/>
            <w:vAlign w:val="center"/>
            <w:hideMark/>
          </w:tcPr>
          <w:p w:rsidR="004451CB" w:rsidRPr="000019EE" w:rsidRDefault="000019EE" w:rsidP="000019EE">
            <w:pPr>
              <w:spacing w:after="0" w:line="240" w:lineRule="auto"/>
              <w:contextualSpacing/>
              <w:jc w:val="right"/>
              <w:rPr>
                <w:rFonts w:ascii="Times New Roman" w:eastAsia="Times New Roman" w:hAnsi="Times New Roman" w:cs="Times New Roman"/>
                <w:b/>
                <w:bCs/>
                <w:sz w:val="18"/>
                <w:szCs w:val="18"/>
              </w:rPr>
            </w:pPr>
            <w:r w:rsidRPr="000019EE">
              <w:rPr>
                <w:rFonts w:ascii="Times New Roman" w:eastAsia="Times New Roman" w:hAnsi="Times New Roman" w:cs="Times New Roman"/>
                <w:b/>
                <w:bCs/>
                <w:sz w:val="18"/>
                <w:szCs w:val="18"/>
              </w:rPr>
              <w:t xml:space="preserve">  2</w:t>
            </w:r>
            <w:r w:rsidR="00EF40DB">
              <w:rPr>
                <w:rFonts w:ascii="Times New Roman" w:eastAsia="Times New Roman" w:hAnsi="Times New Roman" w:cs="Times New Roman"/>
                <w:b/>
                <w:bCs/>
                <w:sz w:val="18"/>
                <w:szCs w:val="18"/>
              </w:rPr>
              <w:t>.</w:t>
            </w:r>
            <w:r w:rsidRPr="000019EE">
              <w:rPr>
                <w:rFonts w:ascii="Times New Roman" w:eastAsia="Times New Roman" w:hAnsi="Times New Roman" w:cs="Times New Roman"/>
                <w:b/>
                <w:bCs/>
                <w:sz w:val="18"/>
                <w:szCs w:val="18"/>
              </w:rPr>
              <w:t>10</w:t>
            </w:r>
          </w:p>
        </w:tc>
        <w:tc>
          <w:tcPr>
            <w:tcW w:w="440" w:type="pct"/>
            <w:tcBorders>
              <w:top w:val="nil"/>
              <w:left w:val="nil"/>
              <w:bottom w:val="nil"/>
              <w:right w:val="nil"/>
            </w:tcBorders>
            <w:shd w:val="clear" w:color="auto" w:fill="auto"/>
            <w:vAlign w:val="center"/>
            <w:hideMark/>
          </w:tcPr>
          <w:p w:rsidR="004451CB" w:rsidRPr="000019EE" w:rsidRDefault="000019EE" w:rsidP="000019EE">
            <w:pPr>
              <w:spacing w:after="0" w:line="240" w:lineRule="auto"/>
              <w:contextualSpacing/>
              <w:jc w:val="right"/>
              <w:rPr>
                <w:rFonts w:ascii="Times New Roman" w:eastAsia="Times New Roman" w:hAnsi="Times New Roman" w:cs="Times New Roman"/>
                <w:b/>
                <w:bCs/>
                <w:sz w:val="18"/>
                <w:szCs w:val="18"/>
              </w:rPr>
            </w:pPr>
            <w:r w:rsidRPr="000019EE">
              <w:rPr>
                <w:rFonts w:ascii="Times New Roman" w:eastAsia="Times New Roman" w:hAnsi="Times New Roman" w:cs="Times New Roman"/>
                <w:b/>
                <w:bCs/>
                <w:sz w:val="18"/>
                <w:szCs w:val="18"/>
              </w:rPr>
              <w:t xml:space="preserve">     3</w:t>
            </w:r>
            <w:r w:rsidR="00EF40DB">
              <w:rPr>
                <w:rFonts w:ascii="Times New Roman" w:eastAsia="Times New Roman" w:hAnsi="Times New Roman" w:cs="Times New Roman"/>
                <w:b/>
                <w:bCs/>
                <w:sz w:val="18"/>
                <w:szCs w:val="18"/>
              </w:rPr>
              <w:t>.</w:t>
            </w:r>
            <w:r w:rsidRPr="000019EE">
              <w:rPr>
                <w:rFonts w:ascii="Times New Roman" w:eastAsia="Times New Roman" w:hAnsi="Times New Roman" w:cs="Times New Roman"/>
                <w:b/>
                <w:bCs/>
                <w:sz w:val="18"/>
                <w:szCs w:val="18"/>
              </w:rPr>
              <w:t>40</w:t>
            </w:r>
          </w:p>
        </w:tc>
        <w:tc>
          <w:tcPr>
            <w:tcW w:w="449" w:type="pct"/>
            <w:tcBorders>
              <w:top w:val="nil"/>
              <w:left w:val="nil"/>
              <w:bottom w:val="nil"/>
              <w:right w:val="single" w:sz="4" w:space="0" w:color="auto"/>
            </w:tcBorders>
            <w:shd w:val="clear" w:color="auto" w:fill="auto"/>
            <w:vAlign w:val="center"/>
            <w:hideMark/>
          </w:tcPr>
          <w:p w:rsidR="004451CB" w:rsidRPr="000019EE" w:rsidRDefault="000019EE" w:rsidP="000019EE">
            <w:pPr>
              <w:spacing w:after="0" w:line="240" w:lineRule="auto"/>
              <w:contextualSpacing/>
              <w:jc w:val="right"/>
              <w:rPr>
                <w:rFonts w:ascii="Times New Roman" w:eastAsia="Times New Roman" w:hAnsi="Times New Roman" w:cs="Times New Roman"/>
                <w:b/>
                <w:bCs/>
                <w:sz w:val="18"/>
                <w:szCs w:val="18"/>
              </w:rPr>
            </w:pPr>
            <w:r w:rsidRPr="000019EE">
              <w:rPr>
                <w:rFonts w:ascii="Times New Roman" w:eastAsia="Times New Roman" w:hAnsi="Times New Roman" w:cs="Times New Roman"/>
                <w:b/>
                <w:bCs/>
                <w:sz w:val="18"/>
                <w:szCs w:val="18"/>
              </w:rPr>
              <w:t xml:space="preserve">     1</w:t>
            </w:r>
            <w:r w:rsidR="00EF40DB">
              <w:rPr>
                <w:rFonts w:ascii="Times New Roman" w:eastAsia="Times New Roman" w:hAnsi="Times New Roman" w:cs="Times New Roman"/>
                <w:b/>
                <w:bCs/>
                <w:sz w:val="18"/>
                <w:szCs w:val="18"/>
              </w:rPr>
              <w:t>.</w:t>
            </w:r>
            <w:r w:rsidRPr="000019EE">
              <w:rPr>
                <w:rFonts w:ascii="Times New Roman" w:eastAsia="Times New Roman" w:hAnsi="Times New Roman" w:cs="Times New Roman"/>
                <w:b/>
                <w:bCs/>
                <w:sz w:val="18"/>
                <w:szCs w:val="18"/>
              </w:rPr>
              <w:t>49</w:t>
            </w:r>
          </w:p>
        </w:tc>
      </w:tr>
      <w:tr w:rsidR="004451CB">
        <w:trPr>
          <w:trHeight w:val="300"/>
        </w:trPr>
        <w:tc>
          <w:tcPr>
            <w:tcW w:w="2446" w:type="pct"/>
            <w:tcBorders>
              <w:top w:val="nil"/>
              <w:left w:val="single" w:sz="4" w:space="0" w:color="auto"/>
              <w:bottom w:val="nil"/>
              <w:right w:val="nil"/>
            </w:tcBorders>
            <w:shd w:val="clear" w:color="auto" w:fill="auto"/>
            <w:vAlign w:val="center"/>
            <w:hideMark/>
          </w:tcPr>
          <w:p w:rsidR="004451CB" w:rsidRPr="000019EE" w:rsidRDefault="000019EE">
            <w:pPr>
              <w:spacing w:after="0" w:line="288" w:lineRule="auto"/>
              <w:ind w:left="432"/>
              <w:rPr>
                <w:rFonts w:ascii="Times New Roman" w:hAnsi="Times New Roman"/>
                <w:bCs/>
                <w:sz w:val="20"/>
                <w:szCs w:val="20"/>
              </w:rPr>
            </w:pPr>
            <w:r w:rsidRPr="000019EE">
              <w:rPr>
                <w:rFonts w:ascii="Times New Roman" w:hAnsi="Times New Roman"/>
                <w:bCs/>
                <w:sz w:val="20"/>
                <w:szCs w:val="20"/>
              </w:rPr>
              <w:t>Quarter 1 in 2014</w:t>
            </w:r>
          </w:p>
        </w:tc>
        <w:tc>
          <w:tcPr>
            <w:tcW w:w="493"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2.78</w:t>
            </w:r>
          </w:p>
        </w:tc>
        <w:tc>
          <w:tcPr>
            <w:tcW w:w="391"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1.45</w:t>
            </w:r>
          </w:p>
        </w:tc>
        <w:tc>
          <w:tcPr>
            <w:tcW w:w="439"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3.37</w:t>
            </w:r>
          </w:p>
        </w:tc>
        <w:tc>
          <w:tcPr>
            <w:tcW w:w="342"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2.21</w:t>
            </w:r>
          </w:p>
        </w:tc>
        <w:tc>
          <w:tcPr>
            <w:tcW w:w="440"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3.72</w:t>
            </w:r>
          </w:p>
        </w:tc>
        <w:tc>
          <w:tcPr>
            <w:tcW w:w="449" w:type="pct"/>
            <w:tcBorders>
              <w:top w:val="nil"/>
              <w:left w:val="nil"/>
              <w:bottom w:val="nil"/>
              <w:right w:val="single" w:sz="4" w:space="0" w:color="auto"/>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1.53</w:t>
            </w:r>
          </w:p>
        </w:tc>
      </w:tr>
      <w:tr w:rsidR="004451CB">
        <w:trPr>
          <w:trHeight w:val="300"/>
        </w:trPr>
        <w:tc>
          <w:tcPr>
            <w:tcW w:w="2446" w:type="pct"/>
            <w:tcBorders>
              <w:top w:val="nil"/>
              <w:left w:val="single" w:sz="4" w:space="0" w:color="auto"/>
              <w:bottom w:val="nil"/>
              <w:right w:val="nil"/>
            </w:tcBorders>
            <w:shd w:val="clear" w:color="auto" w:fill="auto"/>
            <w:vAlign w:val="center"/>
            <w:hideMark/>
          </w:tcPr>
          <w:p w:rsidR="004451CB" w:rsidRPr="000019EE" w:rsidRDefault="000019EE">
            <w:pPr>
              <w:spacing w:after="0" w:line="288" w:lineRule="auto"/>
              <w:ind w:left="432"/>
              <w:rPr>
                <w:rFonts w:ascii="Times New Roman" w:hAnsi="Times New Roman"/>
                <w:bCs/>
                <w:sz w:val="20"/>
                <w:szCs w:val="20"/>
              </w:rPr>
            </w:pPr>
            <w:r w:rsidRPr="000019EE">
              <w:rPr>
                <w:rFonts w:ascii="Times New Roman" w:hAnsi="Times New Roman"/>
                <w:bCs/>
                <w:sz w:val="20"/>
                <w:szCs w:val="20"/>
              </w:rPr>
              <w:t>Quarter 2 in 2014</w:t>
            </w:r>
          </w:p>
        </w:tc>
        <w:tc>
          <w:tcPr>
            <w:tcW w:w="493"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2.25</w:t>
            </w:r>
          </w:p>
        </w:tc>
        <w:tc>
          <w:tcPr>
            <w:tcW w:w="391"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1.05</w:t>
            </w:r>
          </w:p>
        </w:tc>
        <w:tc>
          <w:tcPr>
            <w:tcW w:w="439"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2.77</w:t>
            </w:r>
          </w:p>
        </w:tc>
        <w:tc>
          <w:tcPr>
            <w:tcW w:w="342"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1.84</w:t>
            </w:r>
          </w:p>
        </w:tc>
        <w:tc>
          <w:tcPr>
            <w:tcW w:w="440"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3.26</w:t>
            </w:r>
          </w:p>
        </w:tc>
        <w:tc>
          <w:tcPr>
            <w:tcW w:w="449" w:type="pct"/>
            <w:tcBorders>
              <w:top w:val="nil"/>
              <w:left w:val="nil"/>
              <w:bottom w:val="nil"/>
              <w:right w:val="single" w:sz="4" w:space="0" w:color="auto"/>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1.20</w:t>
            </w:r>
          </w:p>
        </w:tc>
      </w:tr>
      <w:tr w:rsidR="004451CB">
        <w:trPr>
          <w:trHeight w:val="300"/>
        </w:trPr>
        <w:tc>
          <w:tcPr>
            <w:tcW w:w="2446" w:type="pct"/>
            <w:tcBorders>
              <w:top w:val="nil"/>
              <w:left w:val="single" w:sz="4" w:space="0" w:color="auto"/>
              <w:bottom w:val="nil"/>
              <w:right w:val="nil"/>
            </w:tcBorders>
            <w:shd w:val="clear" w:color="auto" w:fill="auto"/>
            <w:vAlign w:val="center"/>
            <w:hideMark/>
          </w:tcPr>
          <w:p w:rsidR="004451CB" w:rsidRPr="000019EE" w:rsidRDefault="000019EE">
            <w:pPr>
              <w:spacing w:after="0" w:line="288" w:lineRule="auto"/>
              <w:ind w:left="432"/>
              <w:rPr>
                <w:rFonts w:ascii="Times New Roman" w:hAnsi="Times New Roman"/>
                <w:bCs/>
                <w:sz w:val="20"/>
                <w:szCs w:val="20"/>
              </w:rPr>
            </w:pPr>
            <w:r w:rsidRPr="000019EE">
              <w:rPr>
                <w:rFonts w:ascii="Times New Roman" w:hAnsi="Times New Roman"/>
                <w:bCs/>
                <w:sz w:val="20"/>
                <w:szCs w:val="20"/>
              </w:rPr>
              <w:t>Quarter 3 in 2014</w:t>
            </w:r>
          </w:p>
        </w:tc>
        <w:tc>
          <w:tcPr>
            <w:tcW w:w="493"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2.30</w:t>
            </w:r>
          </w:p>
        </w:tc>
        <w:tc>
          <w:tcPr>
            <w:tcW w:w="391"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1.12</w:t>
            </w:r>
          </w:p>
        </w:tc>
        <w:tc>
          <w:tcPr>
            <w:tcW w:w="439"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2.83</w:t>
            </w:r>
          </w:p>
        </w:tc>
        <w:tc>
          <w:tcPr>
            <w:tcW w:w="342"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2.17</w:t>
            </w:r>
          </w:p>
        </w:tc>
        <w:tc>
          <w:tcPr>
            <w:tcW w:w="440"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3.27</w:t>
            </w:r>
          </w:p>
        </w:tc>
        <w:tc>
          <w:tcPr>
            <w:tcW w:w="449" w:type="pct"/>
            <w:tcBorders>
              <w:top w:val="nil"/>
              <w:left w:val="nil"/>
              <w:bottom w:val="nil"/>
              <w:right w:val="single" w:sz="4" w:space="0" w:color="auto"/>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1.67</w:t>
            </w:r>
          </w:p>
        </w:tc>
      </w:tr>
      <w:tr w:rsidR="004451CB">
        <w:trPr>
          <w:trHeight w:val="300"/>
        </w:trPr>
        <w:tc>
          <w:tcPr>
            <w:tcW w:w="2446" w:type="pct"/>
            <w:tcBorders>
              <w:top w:val="nil"/>
              <w:left w:val="single" w:sz="4" w:space="0" w:color="auto"/>
              <w:bottom w:val="nil"/>
              <w:right w:val="nil"/>
            </w:tcBorders>
            <w:shd w:val="clear" w:color="auto" w:fill="auto"/>
            <w:vAlign w:val="center"/>
            <w:hideMark/>
          </w:tcPr>
          <w:p w:rsidR="004451CB" w:rsidRPr="000019EE" w:rsidRDefault="000019EE">
            <w:pPr>
              <w:spacing w:after="0" w:line="288" w:lineRule="auto"/>
              <w:ind w:left="432"/>
              <w:rPr>
                <w:rFonts w:ascii="Times New Roman" w:hAnsi="Times New Roman"/>
                <w:bCs/>
                <w:sz w:val="20"/>
                <w:szCs w:val="20"/>
              </w:rPr>
            </w:pPr>
            <w:r w:rsidRPr="000019EE">
              <w:rPr>
                <w:rFonts w:ascii="Times New Roman" w:hAnsi="Times New Roman"/>
                <w:bCs/>
                <w:sz w:val="20"/>
                <w:szCs w:val="20"/>
              </w:rPr>
              <w:t>Quarter 4 in 2014</w:t>
            </w:r>
          </w:p>
        </w:tc>
        <w:tc>
          <w:tcPr>
            <w:tcW w:w="493"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w:t>
            </w:r>
            <w:r w:rsidRPr="000019EE">
              <w:rPr>
                <w:rFonts w:ascii="Times New Roman" w:eastAsia="Times New Roman" w:hAnsi="Times New Roman" w:cs="Times New Roman"/>
                <w:color w:val="000000"/>
                <w:sz w:val="18"/>
                <w:szCs w:val="18"/>
                <w:lang w:val="vi-VN"/>
              </w:rPr>
              <w:t>3</w:t>
            </w:r>
            <w:r w:rsidRPr="000019EE">
              <w:rPr>
                <w:rFonts w:ascii="Times New Roman" w:eastAsia="Times New Roman" w:hAnsi="Times New Roman" w:cs="Times New Roman"/>
                <w:color w:val="000000"/>
                <w:sz w:val="18"/>
                <w:szCs w:val="18"/>
              </w:rPr>
              <w:t>2</w:t>
            </w:r>
          </w:p>
        </w:tc>
        <w:tc>
          <w:tcPr>
            <w:tcW w:w="391"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lang w:val="vi-VN"/>
              </w:rPr>
            </w:pPr>
            <w:r w:rsidRPr="000019EE">
              <w:rPr>
                <w:rFonts w:ascii="Times New Roman" w:eastAsia="Times New Roman" w:hAnsi="Times New Roman" w:cs="Times New Roman"/>
                <w:color w:val="000000"/>
                <w:sz w:val="18"/>
                <w:szCs w:val="18"/>
              </w:rPr>
              <w:t>1.2</w:t>
            </w:r>
            <w:r w:rsidRPr="000019EE">
              <w:rPr>
                <w:rFonts w:ascii="Times New Roman" w:eastAsia="Times New Roman" w:hAnsi="Times New Roman" w:cs="Times New Roman"/>
                <w:color w:val="000000"/>
                <w:sz w:val="18"/>
                <w:szCs w:val="18"/>
                <w:lang w:val="vi-VN"/>
              </w:rPr>
              <w:t>0</w:t>
            </w:r>
          </w:p>
        </w:tc>
        <w:tc>
          <w:tcPr>
            <w:tcW w:w="439"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w:t>
            </w:r>
            <w:r w:rsidRPr="000019EE">
              <w:rPr>
                <w:rFonts w:ascii="Times New Roman" w:eastAsia="Times New Roman" w:hAnsi="Times New Roman" w:cs="Times New Roman"/>
                <w:color w:val="000000"/>
                <w:sz w:val="18"/>
                <w:szCs w:val="18"/>
                <w:lang w:val="vi-VN"/>
              </w:rPr>
              <w:t>82</w:t>
            </w:r>
          </w:p>
        </w:tc>
        <w:tc>
          <w:tcPr>
            <w:tcW w:w="342"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2.05</w:t>
            </w:r>
          </w:p>
        </w:tc>
        <w:tc>
          <w:tcPr>
            <w:tcW w:w="440" w:type="pct"/>
            <w:tcBorders>
              <w:top w:val="nil"/>
              <w:left w:val="nil"/>
              <w:bottom w:val="nil"/>
              <w:right w:val="nil"/>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3.21</w:t>
            </w:r>
          </w:p>
        </w:tc>
        <w:tc>
          <w:tcPr>
            <w:tcW w:w="449" w:type="pct"/>
            <w:tcBorders>
              <w:top w:val="nil"/>
              <w:left w:val="nil"/>
              <w:bottom w:val="nil"/>
              <w:right w:val="single" w:sz="4" w:space="0" w:color="auto"/>
            </w:tcBorders>
            <w:shd w:val="clear" w:color="auto" w:fill="auto"/>
            <w:vAlign w:val="center"/>
            <w:hideMark/>
          </w:tcPr>
          <w:p w:rsidR="004451CB" w:rsidRPr="000019EE" w:rsidRDefault="000019EE">
            <w:pPr>
              <w:spacing w:after="0" w:line="240" w:lineRule="auto"/>
              <w:jc w:val="right"/>
              <w:rPr>
                <w:rFonts w:ascii="Times New Roman" w:eastAsia="Times New Roman" w:hAnsi="Times New Roman" w:cs="Times New Roman"/>
                <w:color w:val="000000"/>
                <w:sz w:val="18"/>
                <w:szCs w:val="18"/>
              </w:rPr>
            </w:pPr>
            <w:r w:rsidRPr="000019EE">
              <w:rPr>
                <w:rFonts w:ascii="Times New Roman" w:eastAsia="Times New Roman" w:hAnsi="Times New Roman" w:cs="Times New Roman"/>
                <w:color w:val="000000"/>
                <w:sz w:val="18"/>
                <w:szCs w:val="18"/>
              </w:rPr>
              <w:t>1.52</w:t>
            </w:r>
          </w:p>
        </w:tc>
      </w:tr>
      <w:tr w:rsidR="004451CB">
        <w:trPr>
          <w:trHeight w:val="300"/>
        </w:trPr>
        <w:tc>
          <w:tcPr>
            <w:tcW w:w="2446" w:type="pct"/>
            <w:tcBorders>
              <w:top w:val="nil"/>
              <w:left w:val="single" w:sz="4" w:space="0" w:color="auto"/>
              <w:bottom w:val="nil"/>
              <w:right w:val="nil"/>
            </w:tcBorders>
            <w:shd w:val="clear" w:color="auto" w:fill="auto"/>
            <w:vAlign w:val="center"/>
            <w:hideMark/>
          </w:tcPr>
          <w:p w:rsidR="004451CB" w:rsidRPr="000019EE" w:rsidRDefault="000019EE">
            <w:pPr>
              <w:spacing w:after="0" w:line="288" w:lineRule="auto"/>
              <w:rPr>
                <w:rFonts w:ascii="Times New Roman" w:hAnsi="Times New Roman"/>
                <w:b/>
                <w:bCs/>
                <w:sz w:val="20"/>
                <w:szCs w:val="20"/>
              </w:rPr>
            </w:pPr>
            <w:r w:rsidRPr="000019EE">
              <w:rPr>
                <w:rFonts w:ascii="Times New Roman" w:hAnsi="Times New Roman"/>
                <w:b/>
                <w:bCs/>
                <w:sz w:val="20"/>
                <w:szCs w:val="20"/>
              </w:rPr>
              <w:t>2015</w:t>
            </w:r>
          </w:p>
        </w:tc>
        <w:tc>
          <w:tcPr>
            <w:tcW w:w="493" w:type="pct"/>
            <w:tcBorders>
              <w:top w:val="nil"/>
              <w:left w:val="nil"/>
              <w:bottom w:val="nil"/>
              <w:right w:val="nil"/>
            </w:tcBorders>
            <w:shd w:val="clear" w:color="auto" w:fill="auto"/>
            <w:vAlign w:val="center"/>
            <w:hideMark/>
          </w:tcPr>
          <w:p w:rsidR="004451CB" w:rsidRPr="000019EE" w:rsidRDefault="004451CB">
            <w:pPr>
              <w:spacing w:after="0" w:line="240" w:lineRule="auto"/>
              <w:contextualSpacing/>
              <w:jc w:val="center"/>
              <w:rPr>
                <w:rFonts w:ascii="Times New Roman" w:eastAsia="Times New Roman" w:hAnsi="Times New Roman" w:cs="Times New Roman"/>
                <w:b/>
                <w:bCs/>
                <w:color w:val="FF0000"/>
                <w:sz w:val="18"/>
                <w:szCs w:val="18"/>
              </w:rPr>
            </w:pPr>
          </w:p>
        </w:tc>
        <w:tc>
          <w:tcPr>
            <w:tcW w:w="391" w:type="pct"/>
            <w:tcBorders>
              <w:top w:val="nil"/>
              <w:left w:val="nil"/>
              <w:bottom w:val="nil"/>
              <w:right w:val="nil"/>
            </w:tcBorders>
            <w:shd w:val="clear" w:color="auto" w:fill="auto"/>
            <w:vAlign w:val="center"/>
            <w:hideMark/>
          </w:tcPr>
          <w:p w:rsidR="004451CB" w:rsidRPr="000019EE" w:rsidRDefault="004451CB">
            <w:pPr>
              <w:spacing w:after="0" w:line="240" w:lineRule="auto"/>
              <w:contextualSpacing/>
              <w:jc w:val="center"/>
              <w:rPr>
                <w:rFonts w:ascii="Times New Roman" w:eastAsia="Times New Roman" w:hAnsi="Times New Roman" w:cs="Times New Roman"/>
                <w:b/>
                <w:bCs/>
                <w:color w:val="FF0000"/>
                <w:sz w:val="18"/>
                <w:szCs w:val="18"/>
              </w:rPr>
            </w:pPr>
          </w:p>
        </w:tc>
        <w:tc>
          <w:tcPr>
            <w:tcW w:w="439" w:type="pct"/>
            <w:tcBorders>
              <w:top w:val="nil"/>
              <w:left w:val="nil"/>
              <w:bottom w:val="nil"/>
              <w:right w:val="nil"/>
            </w:tcBorders>
            <w:shd w:val="clear" w:color="auto" w:fill="auto"/>
            <w:vAlign w:val="center"/>
            <w:hideMark/>
          </w:tcPr>
          <w:p w:rsidR="004451CB" w:rsidRPr="000019EE" w:rsidRDefault="004451CB">
            <w:pPr>
              <w:spacing w:after="0" w:line="240" w:lineRule="auto"/>
              <w:contextualSpacing/>
              <w:jc w:val="center"/>
              <w:rPr>
                <w:rFonts w:ascii="Times New Roman" w:eastAsia="Times New Roman" w:hAnsi="Times New Roman" w:cs="Times New Roman"/>
                <w:b/>
                <w:bCs/>
                <w:color w:val="FF0000"/>
                <w:sz w:val="18"/>
                <w:szCs w:val="18"/>
              </w:rPr>
            </w:pPr>
          </w:p>
        </w:tc>
        <w:tc>
          <w:tcPr>
            <w:tcW w:w="342" w:type="pct"/>
            <w:tcBorders>
              <w:top w:val="nil"/>
              <w:left w:val="nil"/>
              <w:bottom w:val="nil"/>
              <w:right w:val="nil"/>
            </w:tcBorders>
            <w:shd w:val="clear" w:color="auto" w:fill="auto"/>
            <w:vAlign w:val="center"/>
            <w:hideMark/>
          </w:tcPr>
          <w:p w:rsidR="004451CB" w:rsidRPr="000019EE" w:rsidRDefault="004451CB">
            <w:pPr>
              <w:spacing w:after="0" w:line="240" w:lineRule="auto"/>
              <w:contextualSpacing/>
              <w:rPr>
                <w:rFonts w:ascii="Times New Roman" w:eastAsia="Times New Roman" w:hAnsi="Times New Roman" w:cs="Times New Roman"/>
                <w:b/>
                <w:bCs/>
                <w:color w:val="FF0000"/>
                <w:sz w:val="18"/>
                <w:szCs w:val="18"/>
              </w:rPr>
            </w:pPr>
          </w:p>
        </w:tc>
        <w:tc>
          <w:tcPr>
            <w:tcW w:w="440" w:type="pct"/>
            <w:tcBorders>
              <w:top w:val="nil"/>
              <w:left w:val="nil"/>
              <w:bottom w:val="nil"/>
              <w:right w:val="nil"/>
            </w:tcBorders>
            <w:shd w:val="clear" w:color="auto" w:fill="auto"/>
            <w:vAlign w:val="center"/>
            <w:hideMark/>
          </w:tcPr>
          <w:p w:rsidR="004451CB" w:rsidRPr="000019EE" w:rsidRDefault="004451CB">
            <w:pPr>
              <w:spacing w:after="0" w:line="240" w:lineRule="auto"/>
              <w:contextualSpacing/>
              <w:jc w:val="center"/>
              <w:rPr>
                <w:rFonts w:ascii="Times New Roman" w:eastAsia="Times New Roman" w:hAnsi="Times New Roman" w:cs="Times New Roman"/>
                <w:b/>
                <w:bCs/>
                <w:color w:val="FF0000"/>
                <w:sz w:val="18"/>
                <w:szCs w:val="18"/>
              </w:rPr>
            </w:pPr>
          </w:p>
        </w:tc>
        <w:tc>
          <w:tcPr>
            <w:tcW w:w="449" w:type="pct"/>
            <w:tcBorders>
              <w:top w:val="nil"/>
              <w:left w:val="nil"/>
              <w:bottom w:val="nil"/>
              <w:right w:val="single" w:sz="4" w:space="0" w:color="auto"/>
            </w:tcBorders>
            <w:shd w:val="clear" w:color="auto" w:fill="auto"/>
            <w:vAlign w:val="center"/>
            <w:hideMark/>
          </w:tcPr>
          <w:p w:rsidR="004451CB" w:rsidRPr="000019EE" w:rsidRDefault="004451CB">
            <w:pPr>
              <w:spacing w:after="0" w:line="240" w:lineRule="auto"/>
              <w:contextualSpacing/>
              <w:jc w:val="center"/>
              <w:rPr>
                <w:rFonts w:ascii="Times New Roman" w:eastAsia="Times New Roman" w:hAnsi="Times New Roman" w:cs="Times New Roman"/>
                <w:b/>
                <w:bCs/>
                <w:color w:val="FF0000"/>
                <w:sz w:val="18"/>
                <w:szCs w:val="18"/>
              </w:rPr>
            </w:pPr>
          </w:p>
        </w:tc>
      </w:tr>
      <w:tr w:rsidR="004451CB">
        <w:trPr>
          <w:trHeight w:val="300"/>
        </w:trPr>
        <w:tc>
          <w:tcPr>
            <w:tcW w:w="2446" w:type="pct"/>
            <w:tcBorders>
              <w:top w:val="nil"/>
              <w:left w:val="single" w:sz="4" w:space="0" w:color="auto"/>
              <w:bottom w:val="nil"/>
              <w:right w:val="nil"/>
            </w:tcBorders>
            <w:shd w:val="clear" w:color="auto" w:fill="auto"/>
            <w:vAlign w:val="center"/>
            <w:hideMark/>
          </w:tcPr>
          <w:p w:rsidR="004451CB" w:rsidRDefault="000019EE">
            <w:pPr>
              <w:spacing w:after="0" w:line="288" w:lineRule="auto"/>
              <w:ind w:left="432"/>
              <w:rPr>
                <w:rFonts w:ascii="Times New Roman" w:hAnsi="Times New Roman"/>
                <w:bCs/>
                <w:sz w:val="20"/>
                <w:szCs w:val="20"/>
              </w:rPr>
            </w:pPr>
            <w:r>
              <w:rPr>
                <w:rFonts w:ascii="Times New Roman" w:hAnsi="Times New Roman"/>
                <w:bCs/>
                <w:sz w:val="20"/>
                <w:szCs w:val="20"/>
              </w:rPr>
              <w:t>Quarter 1 in 2015</w:t>
            </w:r>
          </w:p>
        </w:tc>
        <w:tc>
          <w:tcPr>
            <w:tcW w:w="493"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w:t>
            </w:r>
            <w:r w:rsidR="00EF40DB">
              <w:rPr>
                <w:rFonts w:ascii="Times New Roman" w:hAnsi="Times New Roman" w:cs="Times New Roman"/>
                <w:color w:val="000000"/>
                <w:sz w:val="18"/>
                <w:szCs w:val="18"/>
              </w:rPr>
              <w:t>.</w:t>
            </w:r>
            <w:r>
              <w:rPr>
                <w:rFonts w:ascii="Times New Roman" w:hAnsi="Times New Roman" w:cs="Times New Roman"/>
                <w:color w:val="000000"/>
                <w:sz w:val="18"/>
                <w:szCs w:val="18"/>
              </w:rPr>
              <w:t>43</w:t>
            </w:r>
          </w:p>
        </w:tc>
        <w:tc>
          <w:tcPr>
            <w:tcW w:w="391"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w:t>
            </w:r>
            <w:r w:rsidR="00EF40DB">
              <w:rPr>
                <w:rFonts w:ascii="Times New Roman" w:hAnsi="Times New Roman" w:cs="Times New Roman"/>
                <w:color w:val="000000"/>
                <w:sz w:val="18"/>
                <w:szCs w:val="18"/>
              </w:rPr>
              <w:t>.</w:t>
            </w:r>
            <w:r>
              <w:rPr>
                <w:rFonts w:ascii="Times New Roman" w:hAnsi="Times New Roman" w:cs="Times New Roman"/>
                <w:color w:val="000000"/>
                <w:sz w:val="18"/>
                <w:szCs w:val="18"/>
              </w:rPr>
              <w:t>15</w:t>
            </w:r>
          </w:p>
        </w:tc>
        <w:tc>
          <w:tcPr>
            <w:tcW w:w="439"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w:t>
            </w:r>
            <w:r w:rsidR="00EF40DB">
              <w:rPr>
                <w:rFonts w:ascii="Times New Roman" w:hAnsi="Times New Roman" w:cs="Times New Roman"/>
                <w:color w:val="000000"/>
                <w:sz w:val="18"/>
                <w:szCs w:val="18"/>
              </w:rPr>
              <w:t>.</w:t>
            </w:r>
            <w:r>
              <w:rPr>
                <w:rFonts w:ascii="Times New Roman" w:hAnsi="Times New Roman" w:cs="Times New Roman"/>
                <w:color w:val="000000"/>
                <w:sz w:val="18"/>
                <w:szCs w:val="18"/>
              </w:rPr>
              <w:t>04</w:t>
            </w:r>
          </w:p>
        </w:tc>
        <w:tc>
          <w:tcPr>
            <w:tcW w:w="342"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2</w:t>
            </w:r>
            <w:r w:rsidR="00EF40DB">
              <w:rPr>
                <w:rFonts w:ascii="Times New Roman" w:hAnsi="Times New Roman" w:cs="Times New Roman"/>
                <w:color w:val="000000"/>
                <w:sz w:val="18"/>
                <w:szCs w:val="18"/>
              </w:rPr>
              <w:t>.</w:t>
            </w:r>
            <w:r>
              <w:rPr>
                <w:rFonts w:ascii="Times New Roman" w:hAnsi="Times New Roman" w:cs="Times New Roman"/>
                <w:color w:val="000000"/>
                <w:sz w:val="18"/>
                <w:szCs w:val="18"/>
              </w:rPr>
              <w:t>43</w:t>
            </w:r>
          </w:p>
        </w:tc>
        <w:tc>
          <w:tcPr>
            <w:tcW w:w="440" w:type="pct"/>
            <w:tcBorders>
              <w:top w:val="nil"/>
              <w:left w:val="nil"/>
              <w:bottom w:val="nil"/>
              <w:right w:val="nil"/>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3</w:t>
            </w:r>
            <w:r w:rsidR="00EF40DB">
              <w:rPr>
                <w:rFonts w:ascii="Times New Roman" w:hAnsi="Times New Roman" w:cs="Times New Roman"/>
                <w:color w:val="000000"/>
                <w:sz w:val="18"/>
                <w:szCs w:val="18"/>
              </w:rPr>
              <w:t>.</w:t>
            </w:r>
            <w:r>
              <w:rPr>
                <w:rFonts w:ascii="Times New Roman" w:hAnsi="Times New Roman" w:cs="Times New Roman"/>
                <w:color w:val="000000"/>
                <w:sz w:val="18"/>
                <w:szCs w:val="18"/>
              </w:rPr>
              <w:t>43</w:t>
            </w:r>
          </w:p>
        </w:tc>
        <w:tc>
          <w:tcPr>
            <w:tcW w:w="449" w:type="pct"/>
            <w:tcBorders>
              <w:top w:val="nil"/>
              <w:left w:val="nil"/>
              <w:bottom w:val="nil"/>
              <w:right w:val="single" w:sz="4" w:space="0" w:color="auto"/>
            </w:tcBorders>
            <w:shd w:val="clear" w:color="auto" w:fill="auto"/>
            <w:hideMark/>
          </w:tcPr>
          <w:p w:rsidR="004451CB" w:rsidRDefault="000019EE">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1</w:t>
            </w:r>
            <w:r w:rsidR="00EF40DB">
              <w:rPr>
                <w:rFonts w:ascii="Times New Roman" w:hAnsi="Times New Roman" w:cs="Times New Roman"/>
                <w:color w:val="000000"/>
                <w:sz w:val="18"/>
                <w:szCs w:val="18"/>
              </w:rPr>
              <w:t>.</w:t>
            </w:r>
            <w:r>
              <w:rPr>
                <w:rFonts w:ascii="Times New Roman" w:hAnsi="Times New Roman" w:cs="Times New Roman"/>
                <w:color w:val="000000"/>
                <w:sz w:val="18"/>
                <w:szCs w:val="18"/>
              </w:rPr>
              <w:t>95</w:t>
            </w:r>
          </w:p>
        </w:tc>
      </w:tr>
      <w:tr w:rsidR="004451CB">
        <w:trPr>
          <w:trHeight w:hRule="exact" w:val="80"/>
        </w:trPr>
        <w:tc>
          <w:tcPr>
            <w:tcW w:w="2446" w:type="pct"/>
            <w:tcBorders>
              <w:top w:val="nil"/>
              <w:left w:val="single" w:sz="4" w:space="0" w:color="auto"/>
              <w:bottom w:val="single" w:sz="4" w:space="0" w:color="auto"/>
              <w:right w:val="nil"/>
            </w:tcBorders>
            <w:shd w:val="clear" w:color="auto" w:fill="auto"/>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493"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391"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39"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342"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40" w:type="pct"/>
            <w:tcBorders>
              <w:top w:val="nil"/>
              <w:left w:val="nil"/>
              <w:bottom w:val="single" w:sz="4" w:space="0" w:color="auto"/>
              <w:right w:val="nil"/>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c>
          <w:tcPr>
            <w:tcW w:w="449" w:type="pct"/>
            <w:tcBorders>
              <w:top w:val="nil"/>
              <w:left w:val="nil"/>
              <w:bottom w:val="single" w:sz="4" w:space="0" w:color="auto"/>
              <w:right w:val="single" w:sz="4" w:space="0" w:color="auto"/>
            </w:tcBorders>
            <w:shd w:val="clear" w:color="auto" w:fill="auto"/>
            <w:vAlign w:val="center"/>
            <w:hideMark/>
          </w:tcPr>
          <w:p w:rsidR="004451CB" w:rsidRDefault="004451CB">
            <w:pPr>
              <w:spacing w:after="0" w:line="240" w:lineRule="auto"/>
              <w:jc w:val="right"/>
              <w:rPr>
                <w:rFonts w:ascii="Times New Roman" w:eastAsia="Times New Roman" w:hAnsi="Times New Roman" w:cs="Times New Roman"/>
                <w:color w:val="000000"/>
                <w:sz w:val="18"/>
                <w:szCs w:val="18"/>
              </w:rPr>
            </w:pPr>
          </w:p>
        </w:tc>
      </w:tr>
    </w:tbl>
    <w:p w:rsidR="004451CB" w:rsidRPr="00C925EB" w:rsidRDefault="004451CB">
      <w:pPr>
        <w:widowControl w:val="0"/>
        <w:autoSpaceDE w:val="0"/>
        <w:autoSpaceDN w:val="0"/>
        <w:adjustRightInd w:val="0"/>
        <w:spacing w:after="0" w:line="240" w:lineRule="auto"/>
        <w:rPr>
          <w:rFonts w:ascii="Times New Roman Bold" w:hAnsi="Times New Roman Bold" w:cs="Times New Roman"/>
          <w:sz w:val="16"/>
          <w:szCs w:val="26"/>
        </w:rPr>
      </w:pPr>
    </w:p>
    <w:p w:rsidR="004451CB" w:rsidRDefault="000019EE" w:rsidP="00C925EB">
      <w:pPr>
        <w:spacing w:after="0" w:line="264" w:lineRule="auto"/>
        <w:ind w:firstLine="864"/>
        <w:jc w:val="both"/>
        <w:rPr>
          <w:rFonts w:ascii="Times New Roman Bold" w:hAnsi="Times New Roman Bold" w:cs="Times New Roman"/>
          <w:sz w:val="26"/>
          <w:szCs w:val="26"/>
        </w:rPr>
      </w:pPr>
      <w:r>
        <w:rPr>
          <w:rFonts w:ascii="Times New Roman" w:hAnsi="Times New Roman"/>
          <w:bCs/>
          <w:sz w:val="28"/>
          <w:szCs w:val="28"/>
          <w:lang w:eastAsia="en-GB"/>
        </w:rPr>
        <w:t>The youn</w:t>
      </w:r>
      <w:r w:rsidR="005D48AC">
        <w:rPr>
          <w:rFonts w:ascii="Times New Roman" w:hAnsi="Times New Roman"/>
          <w:bCs/>
          <w:sz w:val="28"/>
          <w:szCs w:val="28"/>
          <w:lang w:eastAsia="en-GB"/>
        </w:rPr>
        <w:t xml:space="preserve">g unemployment rate </w:t>
      </w:r>
      <w:r>
        <w:rPr>
          <w:rFonts w:ascii="Times New Roman" w:hAnsi="Times New Roman"/>
          <w:bCs/>
          <w:sz w:val="28"/>
          <w:szCs w:val="28"/>
          <w:lang w:eastAsia="en-GB"/>
        </w:rPr>
        <w:t>calculated for those persons aged 15-24. In urban areas</w:t>
      </w:r>
      <w:r w:rsidR="00EF40DB">
        <w:rPr>
          <w:rFonts w:ascii="Times New Roman" w:hAnsi="Times New Roman"/>
          <w:bCs/>
          <w:sz w:val="28"/>
          <w:szCs w:val="28"/>
          <w:lang w:eastAsia="en-GB"/>
        </w:rPr>
        <w:t>.</w:t>
      </w:r>
      <w:r>
        <w:rPr>
          <w:rFonts w:ascii="Times New Roman" w:hAnsi="Times New Roman"/>
          <w:bCs/>
          <w:sz w:val="28"/>
          <w:szCs w:val="28"/>
          <w:lang w:eastAsia="en-GB"/>
        </w:rPr>
        <w:t xml:space="preserve"> the youth’s unemployment rate was found 5.5 times higher than that of those people aged 25 and above (10.95% verse 1.99%). In quarter 1 2015</w:t>
      </w:r>
      <w:r w:rsidR="00EF40DB">
        <w:rPr>
          <w:rFonts w:ascii="Times New Roman" w:hAnsi="Times New Roman"/>
          <w:bCs/>
          <w:sz w:val="28"/>
          <w:szCs w:val="28"/>
          <w:lang w:eastAsia="en-GB"/>
        </w:rPr>
        <w:t>.</w:t>
      </w:r>
      <w:r>
        <w:rPr>
          <w:rFonts w:ascii="Times New Roman" w:hAnsi="Times New Roman"/>
          <w:bCs/>
          <w:sz w:val="28"/>
          <w:szCs w:val="28"/>
          <w:lang w:eastAsia="en-GB"/>
        </w:rPr>
        <w:t xml:space="preserve"> the young unemployment rate has almost unchanged</w:t>
      </w:r>
      <w:r w:rsidR="00EF40DB">
        <w:rPr>
          <w:rFonts w:ascii="Times New Roman" w:hAnsi="Times New Roman"/>
          <w:bCs/>
          <w:sz w:val="28"/>
          <w:szCs w:val="28"/>
          <w:lang w:eastAsia="en-GB"/>
        </w:rPr>
        <w:t>.</w:t>
      </w:r>
      <w:r>
        <w:rPr>
          <w:rFonts w:ascii="Times New Roman" w:hAnsi="Times New Roman"/>
          <w:bCs/>
          <w:sz w:val="28"/>
          <w:szCs w:val="28"/>
          <w:lang w:eastAsia="en-GB"/>
        </w:rPr>
        <w:t xml:space="preserve"> just 0.74 percentage points lower than that of the same period last year. </w:t>
      </w:r>
    </w:p>
    <w:p w:rsidR="004451CB" w:rsidRPr="00C925EB" w:rsidRDefault="004451CB">
      <w:pPr>
        <w:widowControl w:val="0"/>
        <w:autoSpaceDE w:val="0"/>
        <w:autoSpaceDN w:val="0"/>
        <w:adjustRightInd w:val="0"/>
        <w:spacing w:after="0" w:line="240" w:lineRule="auto"/>
        <w:rPr>
          <w:rFonts w:ascii="Times New Roman Bold" w:hAnsi="Times New Roman Bold" w:cs="Times New Roman"/>
          <w:sz w:val="18"/>
          <w:szCs w:val="26"/>
        </w:rPr>
      </w:pPr>
    </w:p>
    <w:p w:rsidR="005D48AC" w:rsidRDefault="005D48AC">
      <w:pPr>
        <w:rPr>
          <w:rFonts w:ascii="Times New Roman" w:hAnsi="Times New Roman" w:cs="Times New Roman"/>
          <w:b/>
          <w:bCs/>
          <w:sz w:val="26"/>
          <w:szCs w:val="26"/>
        </w:rPr>
      </w:pPr>
      <w:r>
        <w:rPr>
          <w:rFonts w:ascii="Times New Roman" w:hAnsi="Times New Roman" w:cs="Times New Roman"/>
          <w:b/>
          <w:bCs/>
          <w:sz w:val="26"/>
          <w:szCs w:val="26"/>
        </w:rPr>
        <w:br w:type="page"/>
      </w:r>
    </w:p>
    <w:p w:rsidR="004451CB" w:rsidRDefault="000019EE">
      <w:pPr>
        <w:widowControl w:val="0"/>
        <w:overflowPunct w:val="0"/>
        <w:autoSpaceDE w:val="0"/>
        <w:autoSpaceDN w:val="0"/>
        <w:adjustRightInd w:val="0"/>
        <w:spacing w:after="0"/>
        <w:jc w:val="center"/>
        <w:rPr>
          <w:rFonts w:ascii="Times New Roman" w:hAnsi="Times New Roman" w:cs="Times New Roman"/>
          <w:b/>
          <w:bCs/>
          <w:sz w:val="26"/>
          <w:szCs w:val="26"/>
        </w:rPr>
      </w:pPr>
      <w:r>
        <w:rPr>
          <w:rFonts w:ascii="Times New Roman" w:hAnsi="Times New Roman" w:cs="Times New Roman"/>
          <w:b/>
          <w:bCs/>
          <w:sz w:val="26"/>
          <w:szCs w:val="26"/>
        </w:rPr>
        <w:lastRenderedPageBreak/>
        <w:t>Table 8: Youth’s unemployment rate and Unemployment rate of those who are 25 years old and above classified by quarter in 2014 and 2015</w:t>
      </w:r>
    </w:p>
    <w:p w:rsidR="004451CB" w:rsidRDefault="004451CB">
      <w:pPr>
        <w:widowControl w:val="0"/>
        <w:autoSpaceDE w:val="0"/>
        <w:autoSpaceDN w:val="0"/>
        <w:adjustRightInd w:val="0"/>
        <w:spacing w:after="0" w:line="2" w:lineRule="exact"/>
        <w:rPr>
          <w:rFonts w:ascii="Times New Roman" w:hAnsi="Times New Roman" w:cs="Times New Roman"/>
          <w:sz w:val="26"/>
          <w:szCs w:val="26"/>
        </w:rPr>
      </w:pPr>
    </w:p>
    <w:p w:rsidR="004451CB" w:rsidRDefault="000019EE">
      <w:pPr>
        <w:spacing w:after="0" w:line="288" w:lineRule="auto"/>
        <w:ind w:left="900" w:hanging="900"/>
        <w:jc w:val="right"/>
        <w:rPr>
          <w:rFonts w:ascii="Times New Roman" w:hAnsi="Times New Roman"/>
          <w:i/>
          <w:sz w:val="19"/>
          <w:szCs w:val="19"/>
        </w:rPr>
      </w:pPr>
      <w:r>
        <w:rPr>
          <w:rFonts w:ascii="Times New Roman" w:hAnsi="Times New Roman"/>
          <w:i/>
          <w:sz w:val="19"/>
          <w:szCs w:val="19"/>
        </w:rPr>
        <w:t>Unit: %</w:t>
      </w:r>
    </w:p>
    <w:tbl>
      <w:tblPr>
        <w:tblW w:w="5118" w:type="pct"/>
        <w:tblLook w:val="04A0" w:firstRow="1" w:lastRow="0" w:firstColumn="1" w:lastColumn="0" w:noHBand="0" w:noVBand="1"/>
      </w:tblPr>
      <w:tblGrid>
        <w:gridCol w:w="2660"/>
        <w:gridCol w:w="861"/>
        <w:gridCol w:w="861"/>
        <w:gridCol w:w="861"/>
        <w:gridCol w:w="861"/>
        <w:gridCol w:w="861"/>
        <w:gridCol w:w="861"/>
        <w:gridCol w:w="861"/>
        <w:gridCol w:w="857"/>
      </w:tblGrid>
      <w:tr w:rsidR="004451CB" w:rsidTr="00C925EB">
        <w:trPr>
          <w:trHeight w:val="315"/>
        </w:trPr>
        <w:tc>
          <w:tcPr>
            <w:tcW w:w="139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451CB" w:rsidRDefault="000019EE">
            <w:pPr>
              <w:spacing w:after="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Basic characteristics</w:t>
            </w:r>
          </w:p>
        </w:tc>
        <w:tc>
          <w:tcPr>
            <w:tcW w:w="1804"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Youth’s unemployment rate (15 -24)</w:t>
            </w:r>
          </w:p>
        </w:tc>
        <w:tc>
          <w:tcPr>
            <w:tcW w:w="1802"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Unemployment rate of those persons aged 25+</w:t>
            </w:r>
          </w:p>
        </w:tc>
      </w:tr>
      <w:tr w:rsidR="004451CB" w:rsidTr="00C925EB">
        <w:trPr>
          <w:trHeight w:val="327"/>
        </w:trPr>
        <w:tc>
          <w:tcPr>
            <w:tcW w:w="1394" w:type="pct"/>
            <w:vMerge/>
            <w:tcBorders>
              <w:top w:val="single" w:sz="4" w:space="0" w:color="auto"/>
              <w:left w:val="single" w:sz="4" w:space="0" w:color="auto"/>
              <w:bottom w:val="single" w:sz="4" w:space="0" w:color="000000"/>
              <w:right w:val="single" w:sz="4" w:space="0" w:color="auto"/>
            </w:tcBorders>
            <w:vAlign w:val="center"/>
            <w:hideMark/>
          </w:tcPr>
          <w:p w:rsidR="004451CB" w:rsidRDefault="004451CB">
            <w:pPr>
              <w:spacing w:after="0" w:line="240" w:lineRule="auto"/>
              <w:jc w:val="center"/>
              <w:rPr>
                <w:rFonts w:ascii="Times New Roman" w:eastAsia="Times New Roman" w:hAnsi="Times New Roman" w:cs="Times New Roman"/>
                <w:b/>
                <w:color w:val="000000"/>
                <w:sz w:val="18"/>
                <w:szCs w:val="18"/>
              </w:rPr>
            </w:pPr>
          </w:p>
        </w:tc>
        <w:tc>
          <w:tcPr>
            <w:tcW w:w="1804" w:type="pct"/>
            <w:gridSpan w:val="4"/>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jc w:val="center"/>
              <w:rPr>
                <w:rFonts w:ascii="Times New Roman" w:eastAsia="Times New Roman" w:hAnsi="Times New Roman" w:cs="Times New Roman"/>
                <w:b/>
                <w:color w:val="000000"/>
                <w:sz w:val="18"/>
                <w:szCs w:val="18"/>
              </w:rPr>
            </w:pPr>
          </w:p>
        </w:tc>
        <w:tc>
          <w:tcPr>
            <w:tcW w:w="1802" w:type="pct"/>
            <w:gridSpan w:val="4"/>
            <w:vMerge/>
            <w:tcBorders>
              <w:top w:val="single" w:sz="4" w:space="0" w:color="auto"/>
              <w:left w:val="single" w:sz="4" w:space="0" w:color="auto"/>
              <w:bottom w:val="single" w:sz="4" w:space="0" w:color="auto"/>
              <w:right w:val="single" w:sz="4" w:space="0" w:color="auto"/>
            </w:tcBorders>
            <w:vAlign w:val="center"/>
            <w:hideMark/>
          </w:tcPr>
          <w:p w:rsidR="004451CB" w:rsidRDefault="004451CB">
            <w:pPr>
              <w:spacing w:after="0" w:line="240" w:lineRule="auto"/>
              <w:jc w:val="center"/>
              <w:rPr>
                <w:rFonts w:ascii="Times New Roman" w:eastAsia="Times New Roman" w:hAnsi="Times New Roman" w:cs="Times New Roman"/>
                <w:b/>
                <w:color w:val="000000"/>
                <w:sz w:val="18"/>
                <w:szCs w:val="18"/>
              </w:rPr>
            </w:pPr>
          </w:p>
        </w:tc>
      </w:tr>
      <w:tr w:rsidR="004451CB" w:rsidTr="00C925EB">
        <w:trPr>
          <w:trHeight w:val="255"/>
        </w:trPr>
        <w:tc>
          <w:tcPr>
            <w:tcW w:w="1394" w:type="pct"/>
            <w:vMerge/>
            <w:tcBorders>
              <w:top w:val="single" w:sz="4" w:space="0" w:color="auto"/>
              <w:left w:val="single" w:sz="4" w:space="0" w:color="auto"/>
              <w:bottom w:val="single" w:sz="4" w:space="0" w:color="000000"/>
              <w:right w:val="single" w:sz="4" w:space="0" w:color="auto"/>
            </w:tcBorders>
            <w:vAlign w:val="center"/>
            <w:hideMark/>
          </w:tcPr>
          <w:p w:rsidR="004451CB" w:rsidRDefault="004451CB">
            <w:pPr>
              <w:spacing w:after="0" w:line="240" w:lineRule="auto"/>
              <w:jc w:val="center"/>
              <w:rPr>
                <w:rFonts w:ascii="Times New Roman" w:eastAsia="Times New Roman" w:hAnsi="Times New Roman" w:cs="Times New Roman"/>
                <w:b/>
                <w:color w:val="000000"/>
                <w:sz w:val="18"/>
                <w:szCs w:val="18"/>
              </w:rPr>
            </w:pP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2/2014</w:t>
            </w: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3/2014</w:t>
            </w: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4/2014</w:t>
            </w: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1/2015</w:t>
            </w: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2/2014</w:t>
            </w: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3/2014</w:t>
            </w:r>
          </w:p>
        </w:tc>
        <w:tc>
          <w:tcPr>
            <w:tcW w:w="451"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4/2014</w:t>
            </w:r>
          </w:p>
        </w:tc>
        <w:tc>
          <w:tcPr>
            <w:tcW w:w="449" w:type="pct"/>
            <w:tcBorders>
              <w:top w:val="nil"/>
              <w:left w:val="nil"/>
              <w:bottom w:val="single" w:sz="4" w:space="0" w:color="auto"/>
              <w:right w:val="single" w:sz="4" w:space="0" w:color="auto"/>
            </w:tcBorders>
            <w:shd w:val="clear" w:color="auto" w:fill="auto"/>
            <w:vAlign w:val="center"/>
            <w:hideMark/>
          </w:tcPr>
          <w:p w:rsidR="004451CB" w:rsidRDefault="000019EE">
            <w:pPr>
              <w:spacing w:before="60" w:after="60" w:line="240" w:lineRule="auto"/>
              <w:jc w:val="center"/>
              <w:rPr>
                <w:rFonts w:ascii="Times New Roman" w:eastAsia="Times New Roman" w:hAnsi="Times New Roman" w:cs="Times New Roman"/>
                <w:b/>
                <w:color w:val="000000"/>
                <w:sz w:val="14"/>
                <w:szCs w:val="14"/>
              </w:rPr>
            </w:pPr>
            <w:r>
              <w:rPr>
                <w:rFonts w:ascii="Times New Roman" w:eastAsia="Times New Roman" w:hAnsi="Times New Roman" w:cs="Times New Roman"/>
                <w:b/>
                <w:color w:val="000000"/>
                <w:sz w:val="14"/>
                <w:szCs w:val="14"/>
              </w:rPr>
              <w:t>Quarter 1/2015</w:t>
            </w:r>
          </w:p>
        </w:tc>
      </w:tr>
      <w:tr w:rsidR="004451CB" w:rsidTr="00C925EB">
        <w:trPr>
          <w:trHeight w:hRule="exact" w:val="340"/>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Whole country</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5.09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7.02</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6.17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6.60</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1.06</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1.08</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1.14</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b/>
                <w:color w:val="000000"/>
                <w:sz w:val="18"/>
                <w:szCs w:val="18"/>
              </w:rPr>
            </w:pPr>
            <w:r>
              <w:rPr>
                <w:rFonts w:ascii="Times New Roman" w:hAnsi="Times New Roman" w:cs="Times New Roman"/>
                <w:b/>
                <w:color w:val="000000"/>
                <w:sz w:val="18"/>
                <w:szCs w:val="18"/>
              </w:rPr>
              <w:t>1.41</w:t>
            </w:r>
          </w:p>
        </w:tc>
      </w:tr>
      <w:tr w:rsidR="004451CB" w:rsidTr="00C925EB">
        <w:trPr>
          <w:trHeight w:hRule="exact" w:val="288"/>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Urban</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10.65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11.27</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10.43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10.95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2.04</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1.90</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1.96</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1.99</w:t>
            </w:r>
          </w:p>
        </w:tc>
      </w:tr>
      <w:tr w:rsidR="004451CB" w:rsidTr="00C925EB">
        <w:trPr>
          <w:trHeight w:hRule="exact" w:val="288"/>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Rural</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3.35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5.62</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4.69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4.99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0.63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0.72</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0.78</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1.13</w:t>
            </w:r>
          </w:p>
        </w:tc>
      </w:tr>
      <w:tr w:rsidR="004451CB" w:rsidTr="00C925EB">
        <w:trPr>
          <w:trHeight w:hRule="exact" w:val="288"/>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Sex</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contextualSpacing/>
              <w:jc w:val="right"/>
              <w:rPr>
                <w:rFonts w:ascii="Times New Roman" w:hAnsi="Times New Roman" w:cs="Times New Roman"/>
                <w:color w:val="000000"/>
                <w:sz w:val="18"/>
                <w:szCs w:val="18"/>
              </w:rPr>
            </w:pPr>
          </w:p>
        </w:tc>
      </w:tr>
      <w:tr w:rsidR="004451CB" w:rsidTr="00C925EB">
        <w:trPr>
          <w:trHeight w:hRule="exact" w:val="288"/>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Male</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4.85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6.48</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4.97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6.25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1.30</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1.50</w:t>
            </w:r>
          </w:p>
        </w:tc>
      </w:tr>
      <w:tr w:rsidR="004451CB" w:rsidTr="00C925EB">
        <w:trPr>
          <w:trHeight w:hRule="exact" w:val="288"/>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Female</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5.38</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7.68</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7.59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7.03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0.89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0.98</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1.31</w:t>
            </w:r>
          </w:p>
        </w:tc>
      </w:tr>
      <w:tr w:rsidR="004451CB" w:rsidTr="00C925EB">
        <w:trPr>
          <w:trHeight w:hRule="exact" w:val="340"/>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Social-economic region</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144"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autoSpaceDE w:val="0"/>
              <w:autoSpaceDN w:val="0"/>
              <w:adjustRightInd w:val="0"/>
              <w:spacing w:after="0" w:line="240" w:lineRule="auto"/>
              <w:contextualSpacing/>
              <w:jc w:val="right"/>
              <w:rPr>
                <w:rFonts w:ascii="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4451CB">
            <w:pPr>
              <w:spacing w:after="0" w:line="240" w:lineRule="auto"/>
              <w:contextualSpacing/>
              <w:jc w:val="right"/>
              <w:rPr>
                <w:rFonts w:ascii="Times New Roman" w:eastAsia="Times New Roman" w:hAnsi="Times New Roman" w:cs="Times New Roman"/>
                <w:color w:val="000000"/>
                <w:sz w:val="18"/>
                <w:szCs w:val="18"/>
              </w:rPr>
            </w:pP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4451CB">
            <w:pPr>
              <w:autoSpaceDE w:val="0"/>
              <w:autoSpaceDN w:val="0"/>
              <w:adjustRightInd w:val="0"/>
              <w:spacing w:after="0" w:line="240" w:lineRule="auto"/>
              <w:contextualSpacing/>
              <w:jc w:val="right"/>
              <w:rPr>
                <w:rFonts w:ascii="Times New Roman" w:hAnsi="Times New Roman" w:cs="Times New Roman"/>
                <w:color w:val="000000"/>
                <w:sz w:val="18"/>
                <w:szCs w:val="18"/>
              </w:rPr>
            </w:pPr>
          </w:p>
        </w:tc>
      </w:tr>
      <w:tr w:rsidR="004451CB" w:rsidTr="00C925EB">
        <w:trPr>
          <w:trHeight w:hRule="exact" w:val="513"/>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Northern Midlands and Mountains</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1.37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2.23</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1.85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2.60</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0.43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0.43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0.41</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0.70</w:t>
            </w:r>
          </w:p>
        </w:tc>
      </w:tr>
      <w:tr w:rsidR="004451CB" w:rsidTr="00C925EB">
        <w:trPr>
          <w:trHeight w:hRule="exact" w:val="340"/>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Red River Delta</w:t>
            </w:r>
          </w:p>
        </w:tc>
        <w:tc>
          <w:tcPr>
            <w:tcW w:w="451" w:type="pct"/>
            <w:tcBorders>
              <w:top w:val="nil"/>
              <w:left w:val="nil"/>
              <w:bottom w:val="nil"/>
              <w:right w:val="nil"/>
            </w:tcBorders>
            <w:shd w:val="clear" w:color="auto" w:fill="auto"/>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7.06</w:t>
            </w:r>
          </w:p>
        </w:tc>
        <w:tc>
          <w:tcPr>
            <w:tcW w:w="451" w:type="pct"/>
            <w:tcBorders>
              <w:top w:val="nil"/>
              <w:left w:val="nil"/>
              <w:bottom w:val="nil"/>
              <w:right w:val="nil"/>
            </w:tcBorders>
            <w:shd w:val="clear" w:color="auto" w:fill="auto"/>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11.53</w:t>
            </w:r>
          </w:p>
        </w:tc>
        <w:tc>
          <w:tcPr>
            <w:tcW w:w="451" w:type="pct"/>
            <w:tcBorders>
              <w:top w:val="nil"/>
              <w:left w:val="nil"/>
              <w:bottom w:val="nil"/>
              <w:right w:val="nil"/>
            </w:tcBorders>
            <w:shd w:val="clear" w:color="auto" w:fill="auto"/>
            <w:tcMar>
              <w:left w:w="0" w:type="dxa"/>
              <w:right w:w="144"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10.67</w:t>
            </w:r>
          </w:p>
        </w:tc>
        <w:tc>
          <w:tcPr>
            <w:tcW w:w="451" w:type="pct"/>
            <w:tcBorders>
              <w:top w:val="nil"/>
              <w:left w:val="nil"/>
              <w:bottom w:val="nil"/>
              <w:right w:val="nil"/>
            </w:tcBorders>
            <w:shd w:val="clear" w:color="auto" w:fill="auto"/>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8.22</w:t>
            </w:r>
          </w:p>
        </w:tc>
        <w:tc>
          <w:tcPr>
            <w:tcW w:w="451" w:type="pct"/>
            <w:tcBorders>
              <w:top w:val="nil"/>
              <w:left w:val="nil"/>
              <w:bottom w:val="nil"/>
              <w:right w:val="nil"/>
            </w:tcBorders>
            <w:shd w:val="clear" w:color="auto" w:fill="auto"/>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1.42</w:t>
            </w:r>
          </w:p>
        </w:tc>
        <w:tc>
          <w:tcPr>
            <w:tcW w:w="451" w:type="pct"/>
            <w:tcBorders>
              <w:top w:val="nil"/>
              <w:left w:val="nil"/>
              <w:bottom w:val="nil"/>
              <w:right w:val="nil"/>
            </w:tcBorders>
            <w:shd w:val="clear" w:color="auto" w:fill="auto"/>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1.49</w:t>
            </w:r>
          </w:p>
        </w:tc>
        <w:tc>
          <w:tcPr>
            <w:tcW w:w="451" w:type="pct"/>
            <w:tcBorders>
              <w:top w:val="nil"/>
              <w:left w:val="nil"/>
              <w:bottom w:val="nil"/>
              <w:right w:val="nil"/>
            </w:tcBorders>
            <w:shd w:val="clear" w:color="auto" w:fill="auto"/>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1.51</w:t>
            </w:r>
          </w:p>
        </w:tc>
        <w:tc>
          <w:tcPr>
            <w:tcW w:w="449" w:type="pct"/>
            <w:tcBorders>
              <w:top w:val="nil"/>
              <w:left w:val="nil"/>
              <w:bottom w:val="nil"/>
              <w:right w:val="single" w:sz="4" w:space="0" w:color="auto"/>
            </w:tcBorders>
            <w:shd w:val="clear" w:color="auto" w:fill="auto"/>
            <w:noWrap/>
            <w:tcMar>
              <w:left w:w="0" w:type="dxa"/>
              <w:right w:w="216" w:type="dxa"/>
            </w:tcMar>
            <w:hideMark/>
          </w:tcPr>
          <w:p w:rsidR="004451CB" w:rsidRDefault="000019EE">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1.48</w:t>
            </w:r>
          </w:p>
        </w:tc>
      </w:tr>
      <w:tr w:rsidR="004451CB" w:rsidTr="00C925EB">
        <w:trPr>
          <w:trHeight w:hRule="exact" w:val="340"/>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North and South Central Coast</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6.14</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7.87</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7.03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7.97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0.82</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1.03</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1.02</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1.45</w:t>
            </w:r>
          </w:p>
        </w:tc>
      </w:tr>
      <w:tr w:rsidR="004451CB" w:rsidTr="00C925EB">
        <w:trPr>
          <w:trHeight w:hRule="exact" w:val="340"/>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Central Highland</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2.51</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4.28</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2.74</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0.51</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0.45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0.79</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0.62</w:t>
            </w:r>
          </w:p>
        </w:tc>
      </w:tr>
      <w:tr w:rsidR="004451CB" w:rsidTr="00C925EB">
        <w:trPr>
          <w:trHeight w:hRule="exact" w:val="340"/>
        </w:trPr>
        <w:tc>
          <w:tcPr>
            <w:tcW w:w="1394" w:type="pct"/>
            <w:tcBorders>
              <w:top w:val="nil"/>
              <w:left w:val="single" w:sz="4" w:space="0" w:color="auto"/>
              <w:bottom w:val="nil"/>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Southeast</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6.16</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7.68</w:t>
            </w:r>
          </w:p>
        </w:tc>
        <w:tc>
          <w:tcPr>
            <w:tcW w:w="451" w:type="pct"/>
            <w:tcBorders>
              <w:top w:val="nil"/>
              <w:left w:val="nil"/>
              <w:bottom w:val="nil"/>
              <w:right w:val="nil"/>
            </w:tcBorders>
            <w:shd w:val="clear" w:color="auto" w:fill="auto"/>
            <w:tcMar>
              <w:left w:w="0" w:type="dxa"/>
              <w:right w:w="144"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6.18</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7.89</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1.67</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1.35</w:t>
            </w:r>
          </w:p>
        </w:tc>
        <w:tc>
          <w:tcPr>
            <w:tcW w:w="451" w:type="pct"/>
            <w:tcBorders>
              <w:top w:val="nil"/>
              <w:left w:val="nil"/>
              <w:bottom w:val="nil"/>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1.36</w:t>
            </w:r>
          </w:p>
        </w:tc>
        <w:tc>
          <w:tcPr>
            <w:tcW w:w="449" w:type="pct"/>
            <w:tcBorders>
              <w:top w:val="nil"/>
              <w:left w:val="nil"/>
              <w:bottom w:val="nil"/>
              <w:right w:val="single" w:sz="4" w:space="0" w:color="auto"/>
            </w:tcBorders>
            <w:shd w:val="clear" w:color="auto" w:fill="auto"/>
            <w:noWrap/>
            <w:tcMar>
              <w:left w:w="0" w:type="dxa"/>
              <w:right w:w="216" w:type="dxa"/>
            </w:tcMar>
            <w:vAlign w:val="center"/>
            <w:hideMark/>
          </w:tcPr>
          <w:p w:rsidR="004451CB" w:rsidRDefault="000019EE" w:rsidP="00C925EB">
            <w:pPr>
              <w:autoSpaceDE w:val="0"/>
              <w:autoSpaceDN w:val="0"/>
              <w:adjustRightInd w:val="0"/>
              <w:spacing w:after="0" w:line="240" w:lineRule="auto"/>
              <w:jc w:val="right"/>
              <w:rPr>
                <w:rFonts w:ascii="Times New Roman" w:hAnsi="Times New Roman" w:cs="Times New Roman"/>
                <w:sz w:val="18"/>
                <w:szCs w:val="18"/>
              </w:rPr>
            </w:pPr>
            <w:r>
              <w:rPr>
                <w:rFonts w:ascii="Times New Roman" w:hAnsi="Times New Roman" w:cs="Times New Roman"/>
                <w:sz w:val="18"/>
                <w:szCs w:val="18"/>
              </w:rPr>
              <w:t>1.77</w:t>
            </w:r>
          </w:p>
        </w:tc>
      </w:tr>
      <w:tr w:rsidR="004451CB" w:rsidTr="00C925EB">
        <w:trPr>
          <w:trHeight w:hRule="exact" w:val="340"/>
        </w:trPr>
        <w:tc>
          <w:tcPr>
            <w:tcW w:w="1394" w:type="pct"/>
            <w:tcBorders>
              <w:top w:val="nil"/>
              <w:left w:val="single" w:sz="4" w:space="0" w:color="auto"/>
              <w:bottom w:val="single" w:sz="4" w:space="0" w:color="auto"/>
              <w:right w:val="nil"/>
            </w:tcBorders>
            <w:shd w:val="clear" w:color="auto" w:fill="auto"/>
            <w:vAlign w:val="center"/>
            <w:hideMark/>
          </w:tcPr>
          <w:p w:rsidR="004451CB" w:rsidRDefault="000019EE">
            <w:pPr>
              <w:spacing w:after="0" w:line="240" w:lineRule="auto"/>
              <w:contextualSpacing/>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Mekong River Delta</w:t>
            </w:r>
          </w:p>
        </w:tc>
        <w:tc>
          <w:tcPr>
            <w:tcW w:w="451" w:type="pct"/>
            <w:tcBorders>
              <w:top w:val="nil"/>
              <w:left w:val="nil"/>
              <w:bottom w:val="single" w:sz="4" w:space="0" w:color="auto"/>
              <w:right w:val="nil"/>
            </w:tcBorders>
            <w:shd w:val="clear" w:color="auto" w:fill="auto"/>
            <w:tcMar>
              <w:left w:w="0" w:type="dxa"/>
              <w:right w:w="216" w:type="dxa"/>
            </w:tcMar>
            <w:vAlign w:val="center"/>
            <w:hideMark/>
          </w:tcPr>
          <w:p w:rsidR="004451CB" w:rsidRDefault="000019EE" w:rsidP="00C925EB">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5.58</w:t>
            </w:r>
          </w:p>
        </w:tc>
        <w:tc>
          <w:tcPr>
            <w:tcW w:w="451" w:type="pct"/>
            <w:tcBorders>
              <w:top w:val="nil"/>
              <w:left w:val="nil"/>
              <w:bottom w:val="single" w:sz="4" w:space="0" w:color="auto"/>
              <w:right w:val="nil"/>
            </w:tcBorders>
            <w:shd w:val="clear" w:color="auto" w:fill="auto"/>
            <w:tcMar>
              <w:left w:w="0" w:type="dxa"/>
              <w:right w:w="216" w:type="dxa"/>
            </w:tcMar>
            <w:vAlign w:val="center"/>
            <w:hideMark/>
          </w:tcPr>
          <w:p w:rsidR="004451CB" w:rsidRDefault="000019EE" w:rsidP="00C925EB">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6.94</w:t>
            </w:r>
          </w:p>
        </w:tc>
        <w:tc>
          <w:tcPr>
            <w:tcW w:w="451" w:type="pct"/>
            <w:tcBorders>
              <w:top w:val="nil"/>
              <w:left w:val="nil"/>
              <w:bottom w:val="single" w:sz="4" w:space="0" w:color="auto"/>
              <w:right w:val="nil"/>
            </w:tcBorders>
            <w:shd w:val="clear" w:color="auto" w:fill="auto"/>
            <w:tcMar>
              <w:left w:w="0" w:type="dxa"/>
              <w:right w:w="144" w:type="dxa"/>
            </w:tcMar>
            <w:vAlign w:val="center"/>
            <w:hideMark/>
          </w:tcPr>
          <w:p w:rsidR="004451CB" w:rsidRDefault="000019EE" w:rsidP="00C925EB">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6.39</w:t>
            </w:r>
          </w:p>
        </w:tc>
        <w:tc>
          <w:tcPr>
            <w:tcW w:w="451" w:type="pct"/>
            <w:tcBorders>
              <w:top w:val="nil"/>
              <w:left w:val="nil"/>
              <w:bottom w:val="single" w:sz="4" w:space="0" w:color="auto"/>
              <w:right w:val="nil"/>
            </w:tcBorders>
            <w:shd w:val="clear" w:color="auto" w:fill="auto"/>
            <w:tcMar>
              <w:left w:w="0" w:type="dxa"/>
              <w:right w:w="216" w:type="dxa"/>
            </w:tcMar>
            <w:vAlign w:val="center"/>
            <w:hideMark/>
          </w:tcPr>
          <w:p w:rsidR="004451CB" w:rsidRDefault="000019EE" w:rsidP="00C925E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7.20</w:t>
            </w:r>
          </w:p>
        </w:tc>
        <w:tc>
          <w:tcPr>
            <w:tcW w:w="451" w:type="pct"/>
            <w:tcBorders>
              <w:top w:val="nil"/>
              <w:left w:val="nil"/>
              <w:bottom w:val="single" w:sz="4" w:space="0" w:color="auto"/>
              <w:right w:val="nil"/>
            </w:tcBorders>
            <w:shd w:val="clear" w:color="auto" w:fill="auto"/>
            <w:tcMar>
              <w:left w:w="0" w:type="dxa"/>
              <w:right w:w="216" w:type="dxa"/>
            </w:tcMar>
            <w:vAlign w:val="center"/>
            <w:hideMark/>
          </w:tcPr>
          <w:p w:rsidR="004451CB" w:rsidRDefault="000019EE" w:rsidP="00C925EB">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1.01</w:t>
            </w:r>
          </w:p>
        </w:tc>
        <w:tc>
          <w:tcPr>
            <w:tcW w:w="451" w:type="pct"/>
            <w:tcBorders>
              <w:top w:val="nil"/>
              <w:left w:val="nil"/>
              <w:bottom w:val="single" w:sz="4" w:space="0" w:color="auto"/>
              <w:right w:val="nil"/>
            </w:tcBorders>
            <w:shd w:val="clear" w:color="auto" w:fill="auto"/>
            <w:tcMar>
              <w:left w:w="0" w:type="dxa"/>
              <w:right w:w="216" w:type="dxa"/>
            </w:tcMar>
            <w:vAlign w:val="center"/>
            <w:hideMark/>
          </w:tcPr>
          <w:p w:rsidR="004451CB" w:rsidRDefault="000019EE" w:rsidP="00C925EB">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1.08</w:t>
            </w:r>
          </w:p>
        </w:tc>
        <w:tc>
          <w:tcPr>
            <w:tcW w:w="451" w:type="pct"/>
            <w:tcBorders>
              <w:top w:val="nil"/>
              <w:left w:val="nil"/>
              <w:bottom w:val="single" w:sz="4" w:space="0" w:color="auto"/>
              <w:right w:val="nil"/>
            </w:tcBorders>
            <w:shd w:val="clear" w:color="auto" w:fill="auto"/>
            <w:tcMar>
              <w:left w:w="0" w:type="dxa"/>
              <w:right w:w="216" w:type="dxa"/>
            </w:tcMar>
            <w:vAlign w:val="center"/>
            <w:hideMark/>
          </w:tcPr>
          <w:p w:rsidR="004451CB" w:rsidRDefault="000019EE" w:rsidP="00C925EB">
            <w:pPr>
              <w:spacing w:after="0" w:line="240" w:lineRule="auto"/>
              <w:contextualSpacing/>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1.25</w:t>
            </w:r>
          </w:p>
        </w:tc>
        <w:tc>
          <w:tcPr>
            <w:tcW w:w="449" w:type="pct"/>
            <w:tcBorders>
              <w:top w:val="nil"/>
              <w:left w:val="nil"/>
              <w:bottom w:val="single" w:sz="4" w:space="0" w:color="auto"/>
              <w:right w:val="single" w:sz="4" w:space="0" w:color="auto"/>
            </w:tcBorders>
            <w:shd w:val="clear" w:color="auto" w:fill="auto"/>
            <w:noWrap/>
            <w:tcMar>
              <w:left w:w="0" w:type="dxa"/>
              <w:right w:w="216" w:type="dxa"/>
            </w:tcMar>
            <w:vAlign w:val="center"/>
            <w:hideMark/>
          </w:tcPr>
          <w:p w:rsidR="004451CB" w:rsidRDefault="000019EE" w:rsidP="00C925EB">
            <w:pPr>
              <w:autoSpaceDE w:val="0"/>
              <w:autoSpaceDN w:val="0"/>
              <w:adjustRightInd w:val="0"/>
              <w:spacing w:after="0" w:line="240" w:lineRule="auto"/>
              <w:contextualSpacing/>
              <w:jc w:val="right"/>
              <w:rPr>
                <w:rFonts w:ascii="Times New Roman" w:hAnsi="Times New Roman" w:cs="Times New Roman"/>
                <w:color w:val="000000"/>
                <w:sz w:val="18"/>
                <w:szCs w:val="18"/>
              </w:rPr>
            </w:pPr>
            <w:r>
              <w:rPr>
                <w:rFonts w:ascii="Times New Roman" w:hAnsi="Times New Roman" w:cs="Times New Roman"/>
                <w:color w:val="000000"/>
                <w:sz w:val="18"/>
                <w:szCs w:val="18"/>
              </w:rPr>
              <w:t>1.67</w:t>
            </w:r>
          </w:p>
        </w:tc>
      </w:tr>
    </w:tbl>
    <w:p w:rsidR="004451CB" w:rsidRDefault="004451CB">
      <w:pPr>
        <w:widowControl w:val="0"/>
        <w:overflowPunct w:val="0"/>
        <w:autoSpaceDE w:val="0"/>
        <w:autoSpaceDN w:val="0"/>
        <w:adjustRightInd w:val="0"/>
        <w:spacing w:after="0" w:line="288" w:lineRule="auto"/>
        <w:rPr>
          <w:rFonts w:ascii="Times New Roman" w:hAnsi="Times New Roman" w:cs="Times New Roman"/>
          <w:b/>
          <w:i/>
        </w:rPr>
      </w:pPr>
    </w:p>
    <w:p w:rsidR="004451CB" w:rsidRDefault="000019EE">
      <w:pPr>
        <w:widowControl w:val="0"/>
        <w:overflowPunct w:val="0"/>
        <w:autoSpaceDE w:val="0"/>
        <w:autoSpaceDN w:val="0"/>
        <w:adjustRightInd w:val="0"/>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In Quarter 1</w:t>
      </w:r>
      <w:r w:rsidR="00EF40DB">
        <w:rPr>
          <w:rFonts w:ascii="Times New Roman" w:hAnsi="Times New Roman" w:cs="Times New Roman"/>
          <w:sz w:val="28"/>
          <w:szCs w:val="28"/>
        </w:rPr>
        <w:t>.</w:t>
      </w:r>
      <w:r>
        <w:rPr>
          <w:rFonts w:ascii="Times New Roman" w:hAnsi="Times New Roman" w:cs="Times New Roman"/>
          <w:sz w:val="28"/>
          <w:szCs w:val="28"/>
        </w:rPr>
        <w:t xml:space="preserve"> 2015</w:t>
      </w:r>
      <w:r w:rsidR="00EF40DB">
        <w:rPr>
          <w:rFonts w:ascii="Times New Roman" w:hAnsi="Times New Roman" w:cs="Times New Roman"/>
          <w:sz w:val="28"/>
          <w:szCs w:val="28"/>
        </w:rPr>
        <w:t>.</w:t>
      </w:r>
      <w:r>
        <w:rPr>
          <w:rFonts w:ascii="Times New Roman" w:hAnsi="Times New Roman" w:cs="Times New Roman"/>
          <w:sz w:val="28"/>
          <w:szCs w:val="28"/>
        </w:rPr>
        <w:t xml:space="preserve"> the unemployment rate of young group who have completed technical/qualification training from 3 months or more</w:t>
      </w:r>
      <w:r w:rsidR="00EF40DB">
        <w:rPr>
          <w:rFonts w:ascii="Times New Roman" w:hAnsi="Times New Roman" w:cs="Times New Roman"/>
          <w:sz w:val="28"/>
          <w:szCs w:val="28"/>
        </w:rPr>
        <w:t>.</w:t>
      </w:r>
      <w:r>
        <w:rPr>
          <w:rFonts w:ascii="Times New Roman" w:hAnsi="Times New Roman" w:cs="Times New Roman"/>
          <w:sz w:val="28"/>
          <w:szCs w:val="28"/>
        </w:rPr>
        <w:t xml:space="preserve"> stood at 14.1%</w:t>
      </w:r>
      <w:r w:rsidR="00EF40DB">
        <w:rPr>
          <w:rFonts w:ascii="Times New Roman" w:hAnsi="Times New Roman" w:cs="Times New Roman"/>
          <w:sz w:val="28"/>
          <w:szCs w:val="28"/>
        </w:rPr>
        <w:t>.</w:t>
      </w:r>
      <w:r>
        <w:rPr>
          <w:rFonts w:ascii="Times New Roman" w:hAnsi="Times New Roman" w:cs="Times New Roman"/>
          <w:sz w:val="28"/>
          <w:szCs w:val="28"/>
        </w:rPr>
        <w:t xml:space="preserve"> of which the unemployment for young females was considerably higher than that for young males (16.3% verse 11.6%). This was similar when comparing the unemployment between urban and rural (16.5% against with 12.3%). Notably</w:t>
      </w:r>
      <w:r w:rsidR="00EF40DB">
        <w:rPr>
          <w:rFonts w:ascii="Times New Roman" w:hAnsi="Times New Roman" w:cs="Times New Roman"/>
          <w:sz w:val="28"/>
          <w:szCs w:val="28"/>
        </w:rPr>
        <w:t>.</w:t>
      </w:r>
      <w:r>
        <w:rPr>
          <w:rFonts w:ascii="Times New Roman" w:hAnsi="Times New Roman" w:cs="Times New Roman"/>
          <w:sz w:val="28"/>
          <w:szCs w:val="28"/>
        </w:rPr>
        <w:t xml:space="preserve"> the youth’s unemployment is likely increased along with their level of technical/qualification attainment</w:t>
      </w:r>
      <w:r w:rsidR="00EF40DB">
        <w:rPr>
          <w:rFonts w:ascii="Times New Roman" w:hAnsi="Times New Roman" w:cs="Times New Roman"/>
          <w:sz w:val="28"/>
          <w:szCs w:val="28"/>
        </w:rPr>
        <w:t>.</w:t>
      </w:r>
      <w:r>
        <w:rPr>
          <w:rFonts w:ascii="Times New Roman" w:hAnsi="Times New Roman" w:cs="Times New Roman"/>
          <w:sz w:val="28"/>
          <w:szCs w:val="28"/>
        </w:rPr>
        <w:t xml:space="preserve"> that is</w:t>
      </w:r>
      <w:r w:rsidR="00EF40DB">
        <w:rPr>
          <w:rFonts w:ascii="Times New Roman" w:hAnsi="Times New Roman" w:cs="Times New Roman"/>
          <w:sz w:val="28"/>
          <w:szCs w:val="28"/>
        </w:rPr>
        <w:t>.</w:t>
      </w:r>
      <w:r>
        <w:rPr>
          <w:rFonts w:ascii="Times New Roman" w:hAnsi="Times New Roman" w:cs="Times New Roman"/>
          <w:sz w:val="28"/>
          <w:szCs w:val="28"/>
        </w:rPr>
        <w:t xml:space="preserve"> more concerns on unemployment should be paid for those young people who have attained high technical/qualification level. For example</w:t>
      </w:r>
      <w:r w:rsidR="00EF40DB">
        <w:rPr>
          <w:rFonts w:ascii="Times New Roman" w:hAnsi="Times New Roman" w:cs="Times New Roman"/>
          <w:sz w:val="28"/>
          <w:szCs w:val="28"/>
        </w:rPr>
        <w:t>.</w:t>
      </w:r>
      <w:r>
        <w:rPr>
          <w:rFonts w:ascii="Times New Roman" w:hAnsi="Times New Roman" w:cs="Times New Roman"/>
          <w:sz w:val="28"/>
          <w:szCs w:val="28"/>
        </w:rPr>
        <w:t xml:space="preserve"> the unemployment rates of those young people who have graduated from college or university and above were found about 15.1% and 19.9%</w:t>
      </w:r>
      <w:r w:rsidR="00EF40DB">
        <w:rPr>
          <w:rFonts w:ascii="Times New Roman" w:hAnsi="Times New Roman" w:cs="Times New Roman"/>
          <w:sz w:val="28"/>
          <w:szCs w:val="28"/>
        </w:rPr>
        <w:t>.</w:t>
      </w:r>
      <w:r>
        <w:rPr>
          <w:rFonts w:ascii="Times New Roman" w:hAnsi="Times New Roman" w:cs="Times New Roman"/>
          <w:sz w:val="28"/>
          <w:szCs w:val="28"/>
        </w:rPr>
        <w:t xml:space="preserve"> respectively. Whereas this rate was much lower for those groups who have just completed “short-term vocational education” or “mid-term vocational/professional education (standing at 4.6% and 11.3%). The reason could be that those young people having high educational attainment (such as college</w:t>
      </w:r>
      <w:r w:rsidR="00EF40DB">
        <w:rPr>
          <w:rFonts w:ascii="Times New Roman" w:hAnsi="Times New Roman" w:cs="Times New Roman"/>
          <w:sz w:val="28"/>
          <w:szCs w:val="28"/>
        </w:rPr>
        <w:t>.</w:t>
      </w:r>
      <w:r>
        <w:rPr>
          <w:rFonts w:ascii="Times New Roman" w:hAnsi="Times New Roman" w:cs="Times New Roman"/>
          <w:sz w:val="28"/>
          <w:szCs w:val="28"/>
        </w:rPr>
        <w:t xml:space="preserve"> university or above) are often from 20 to 24 years old</w:t>
      </w:r>
      <w:r w:rsidR="00EF40DB">
        <w:rPr>
          <w:rFonts w:ascii="Times New Roman" w:hAnsi="Times New Roman" w:cs="Times New Roman"/>
          <w:sz w:val="28"/>
          <w:szCs w:val="28"/>
        </w:rPr>
        <w:t>.</w:t>
      </w:r>
      <w:r>
        <w:rPr>
          <w:rFonts w:ascii="Times New Roman" w:hAnsi="Times New Roman" w:cs="Times New Roman"/>
          <w:sz w:val="28"/>
          <w:szCs w:val="28"/>
        </w:rPr>
        <w:t xml:space="preserve"> have just graduated and lack of experiences. Therefore</w:t>
      </w:r>
      <w:r w:rsidR="00EF40DB">
        <w:rPr>
          <w:rFonts w:ascii="Times New Roman" w:hAnsi="Times New Roman" w:cs="Times New Roman"/>
          <w:sz w:val="28"/>
          <w:szCs w:val="28"/>
        </w:rPr>
        <w:t>.</w:t>
      </w:r>
      <w:r>
        <w:rPr>
          <w:rFonts w:ascii="Times New Roman" w:hAnsi="Times New Roman" w:cs="Times New Roman"/>
          <w:sz w:val="28"/>
          <w:szCs w:val="28"/>
        </w:rPr>
        <w:t xml:space="preserve"> they will meet difficult to find suitable jobs.   </w:t>
      </w:r>
    </w:p>
    <w:p w:rsidR="004451CB" w:rsidRDefault="004451CB">
      <w:pPr>
        <w:widowControl w:val="0"/>
        <w:overflowPunct w:val="0"/>
        <w:autoSpaceDE w:val="0"/>
        <w:autoSpaceDN w:val="0"/>
        <w:adjustRightInd w:val="0"/>
        <w:spacing w:after="0"/>
        <w:jc w:val="center"/>
        <w:rPr>
          <w:rFonts w:ascii="Times New Roman" w:hAnsi="Times New Roman" w:cs="Times New Roman"/>
          <w:b/>
          <w:bCs/>
          <w:sz w:val="26"/>
          <w:szCs w:val="26"/>
        </w:rPr>
      </w:pPr>
    </w:p>
    <w:p w:rsidR="004451CB" w:rsidRDefault="004451CB">
      <w:pPr>
        <w:widowControl w:val="0"/>
        <w:overflowPunct w:val="0"/>
        <w:autoSpaceDE w:val="0"/>
        <w:autoSpaceDN w:val="0"/>
        <w:adjustRightInd w:val="0"/>
        <w:spacing w:after="0"/>
        <w:jc w:val="center"/>
        <w:rPr>
          <w:rFonts w:ascii="Times New Roman" w:hAnsi="Times New Roman" w:cs="Times New Roman"/>
          <w:b/>
          <w:bCs/>
          <w:sz w:val="26"/>
          <w:szCs w:val="26"/>
        </w:rPr>
      </w:pPr>
    </w:p>
    <w:p w:rsidR="004451CB" w:rsidRDefault="000019EE">
      <w:pPr>
        <w:widowControl w:val="0"/>
        <w:overflowPunct w:val="0"/>
        <w:autoSpaceDE w:val="0"/>
        <w:autoSpaceDN w:val="0"/>
        <w:adjustRightInd w:val="0"/>
        <w:spacing w:after="0"/>
        <w:jc w:val="center"/>
        <w:rPr>
          <w:rFonts w:ascii="Times New Roman" w:hAnsi="Times New Roman" w:cs="Times New Roman"/>
          <w:b/>
          <w:bCs/>
          <w:sz w:val="26"/>
          <w:szCs w:val="26"/>
        </w:rPr>
      </w:pPr>
      <w:r>
        <w:rPr>
          <w:rFonts w:ascii="Times New Roman" w:hAnsi="Times New Roman" w:cs="Times New Roman"/>
          <w:b/>
          <w:bCs/>
          <w:sz w:val="26"/>
          <w:szCs w:val="26"/>
        </w:rPr>
        <w:lastRenderedPageBreak/>
        <w:t>Table 9: Unemployment rate of the youth who have undergone technical/qualification training from 3 months and more</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classified by level of training</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Quarter 1</w:t>
      </w:r>
      <w:r w:rsidR="00EF40DB">
        <w:rPr>
          <w:rFonts w:ascii="Times New Roman" w:hAnsi="Times New Roman" w:cs="Times New Roman"/>
          <w:b/>
          <w:bCs/>
          <w:sz w:val="26"/>
          <w:szCs w:val="26"/>
        </w:rPr>
        <w:t>.</w:t>
      </w:r>
      <w:r>
        <w:rPr>
          <w:rFonts w:ascii="Times New Roman" w:hAnsi="Times New Roman" w:cs="Times New Roman"/>
          <w:b/>
          <w:bCs/>
          <w:sz w:val="26"/>
          <w:szCs w:val="26"/>
        </w:rPr>
        <w:t xml:space="preserve"> 2015</w:t>
      </w:r>
    </w:p>
    <w:p w:rsidR="004451CB" w:rsidRDefault="000019EE">
      <w:pPr>
        <w:widowControl w:val="0"/>
        <w:autoSpaceDE w:val="0"/>
        <w:autoSpaceDN w:val="0"/>
        <w:adjustRightInd w:val="0"/>
        <w:spacing w:after="120" w:line="240" w:lineRule="auto"/>
        <w:jc w:val="right"/>
        <w:rPr>
          <w:rFonts w:ascii="Times New Roman" w:hAnsi="Times New Roman" w:cs="Times New Roman"/>
          <w:i/>
          <w:iCs/>
          <w:sz w:val="20"/>
          <w:szCs w:val="20"/>
        </w:rPr>
      </w:pPr>
      <w:r>
        <w:rPr>
          <w:rFonts w:ascii="Times New Roman" w:hAnsi="Times New Roman" w:cs="Times New Roman"/>
          <w:i/>
          <w:iCs/>
          <w:sz w:val="20"/>
          <w:szCs w:val="20"/>
        </w:rPr>
        <w:t>Unit: %</w:t>
      </w:r>
    </w:p>
    <w:tbl>
      <w:tblPr>
        <w:tblW w:w="4959" w:type="pct"/>
        <w:tblLook w:val="04A0" w:firstRow="1" w:lastRow="0" w:firstColumn="1" w:lastColumn="0" w:noHBand="0" w:noVBand="1"/>
      </w:tblPr>
      <w:tblGrid>
        <w:gridCol w:w="3236"/>
        <w:gridCol w:w="1361"/>
        <w:gridCol w:w="1001"/>
        <w:gridCol w:w="1181"/>
        <w:gridCol w:w="1181"/>
        <w:gridCol w:w="1180"/>
      </w:tblGrid>
      <w:tr w:rsidR="004451CB">
        <w:trPr>
          <w:trHeight w:val="300"/>
        </w:trPr>
        <w:tc>
          <w:tcPr>
            <w:tcW w:w="10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51CB" w:rsidRDefault="000019EE">
            <w:pPr>
              <w:spacing w:before="120" w:after="120" w:line="240" w:lineRule="auto"/>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Technical/qualification level</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51CB" w:rsidRDefault="000019EE">
            <w:pPr>
              <w:spacing w:before="120" w:after="12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Whole country</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51CB" w:rsidRDefault="000019EE">
            <w:pPr>
              <w:spacing w:before="120" w:after="12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Male</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51CB" w:rsidRDefault="000019EE">
            <w:pPr>
              <w:spacing w:before="120" w:after="12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Female</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51CB" w:rsidRDefault="000019EE">
            <w:pPr>
              <w:spacing w:before="120" w:after="12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 xml:space="preserve">Urban </w:t>
            </w:r>
          </w:p>
        </w:tc>
        <w:tc>
          <w:tcPr>
            <w:tcW w:w="7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51CB" w:rsidRDefault="000019EE">
            <w:pPr>
              <w:spacing w:before="120" w:after="120" w:line="240" w:lineRule="auto"/>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Rural</w:t>
            </w:r>
          </w:p>
        </w:tc>
      </w:tr>
      <w:tr w:rsidR="004451CB">
        <w:trPr>
          <w:trHeight w:hRule="exact" w:val="57"/>
        </w:trPr>
        <w:tc>
          <w:tcPr>
            <w:tcW w:w="1026" w:type="pct"/>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c>
          <w:tcPr>
            <w:tcW w:w="795" w:type="pct"/>
            <w:tcBorders>
              <w:top w:val="nil"/>
              <w:left w:val="nil"/>
              <w:bottom w:val="nil"/>
              <w:right w:val="nil"/>
            </w:tcBorders>
            <w:shd w:val="clear" w:color="auto" w:fill="auto"/>
            <w:noWrap/>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795" w:type="pct"/>
            <w:tcBorders>
              <w:top w:val="nil"/>
              <w:left w:val="nil"/>
              <w:bottom w:val="nil"/>
              <w:right w:val="nil"/>
            </w:tcBorders>
            <w:shd w:val="clear" w:color="auto" w:fill="auto"/>
            <w:noWrap/>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795" w:type="pct"/>
            <w:tcBorders>
              <w:top w:val="nil"/>
              <w:left w:val="nil"/>
              <w:bottom w:val="nil"/>
              <w:right w:val="nil"/>
            </w:tcBorders>
            <w:shd w:val="clear" w:color="auto" w:fill="auto"/>
            <w:noWrap/>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795" w:type="pct"/>
            <w:tcBorders>
              <w:top w:val="nil"/>
              <w:left w:val="nil"/>
              <w:bottom w:val="nil"/>
              <w:right w:val="nil"/>
            </w:tcBorders>
            <w:shd w:val="clear" w:color="auto" w:fill="auto"/>
            <w:noWrap/>
            <w:vAlign w:val="center"/>
            <w:hideMark/>
          </w:tcPr>
          <w:p w:rsidR="004451CB" w:rsidRDefault="004451CB">
            <w:pPr>
              <w:spacing w:after="0" w:line="240" w:lineRule="auto"/>
              <w:rPr>
                <w:rFonts w:ascii="Times New Roman" w:eastAsia="Times New Roman" w:hAnsi="Times New Roman" w:cs="Times New Roman"/>
                <w:color w:val="000000"/>
                <w:sz w:val="18"/>
                <w:szCs w:val="18"/>
              </w:rPr>
            </w:pPr>
          </w:p>
        </w:tc>
        <w:tc>
          <w:tcPr>
            <w:tcW w:w="794" w:type="pct"/>
            <w:tcBorders>
              <w:top w:val="nil"/>
              <w:left w:val="nil"/>
              <w:bottom w:val="nil"/>
              <w:right w:val="single" w:sz="4" w:space="0" w:color="auto"/>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tc>
      </w:tr>
      <w:tr w:rsidR="004451CB">
        <w:trPr>
          <w:trHeight w:val="300"/>
        </w:trPr>
        <w:tc>
          <w:tcPr>
            <w:tcW w:w="1026" w:type="pct"/>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Total</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14.09</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11.56</w:t>
            </w:r>
          </w:p>
        </w:tc>
        <w:tc>
          <w:tcPr>
            <w:tcW w:w="795" w:type="pct"/>
            <w:tcBorders>
              <w:top w:val="nil"/>
              <w:left w:val="nil"/>
              <w:bottom w:val="nil"/>
              <w:right w:val="nil"/>
            </w:tcBorders>
            <w:shd w:val="clear" w:color="auto" w:fill="auto"/>
            <w:noWrap/>
            <w:tcMar>
              <w:left w:w="0" w:type="dxa"/>
              <w:right w:w="454"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16.34</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16.47</w:t>
            </w:r>
          </w:p>
        </w:tc>
        <w:tc>
          <w:tcPr>
            <w:tcW w:w="794" w:type="pct"/>
            <w:tcBorders>
              <w:top w:val="nil"/>
              <w:left w:val="nil"/>
              <w:bottom w:val="nil"/>
              <w:right w:val="single" w:sz="4" w:space="0" w:color="auto"/>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12.31</w:t>
            </w:r>
          </w:p>
        </w:tc>
      </w:tr>
      <w:tr w:rsidR="004451CB">
        <w:trPr>
          <w:trHeight w:val="300"/>
        </w:trPr>
        <w:tc>
          <w:tcPr>
            <w:tcW w:w="1026" w:type="pct"/>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Short-term vocational training</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4.55</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4.68</w:t>
            </w:r>
          </w:p>
        </w:tc>
        <w:tc>
          <w:tcPr>
            <w:tcW w:w="795" w:type="pct"/>
            <w:tcBorders>
              <w:top w:val="nil"/>
              <w:left w:val="nil"/>
              <w:bottom w:val="nil"/>
              <w:right w:val="nil"/>
            </w:tcBorders>
            <w:shd w:val="clear" w:color="auto" w:fill="auto"/>
            <w:noWrap/>
            <w:tcMar>
              <w:left w:w="0" w:type="dxa"/>
              <w:right w:w="454"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4.05</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8.96</w:t>
            </w:r>
          </w:p>
        </w:tc>
        <w:tc>
          <w:tcPr>
            <w:tcW w:w="794" w:type="pct"/>
            <w:tcBorders>
              <w:top w:val="nil"/>
              <w:left w:val="nil"/>
              <w:bottom w:val="nil"/>
              <w:right w:val="single" w:sz="4" w:space="0" w:color="auto"/>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2.93</w:t>
            </w:r>
          </w:p>
        </w:tc>
      </w:tr>
      <w:tr w:rsidR="004451CB">
        <w:trPr>
          <w:trHeight w:val="300"/>
        </w:trPr>
        <w:tc>
          <w:tcPr>
            <w:tcW w:w="1026" w:type="pct"/>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Mid-term vocational/professional training</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11.26</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8.51</w:t>
            </w:r>
          </w:p>
        </w:tc>
        <w:tc>
          <w:tcPr>
            <w:tcW w:w="795" w:type="pct"/>
            <w:tcBorders>
              <w:top w:val="nil"/>
              <w:left w:val="nil"/>
              <w:bottom w:val="nil"/>
              <w:right w:val="nil"/>
            </w:tcBorders>
            <w:shd w:val="clear" w:color="auto" w:fill="auto"/>
            <w:noWrap/>
            <w:tcMar>
              <w:left w:w="0" w:type="dxa"/>
              <w:right w:w="454"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13.69</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12.43</w:t>
            </w:r>
          </w:p>
        </w:tc>
        <w:tc>
          <w:tcPr>
            <w:tcW w:w="794" w:type="pct"/>
            <w:tcBorders>
              <w:top w:val="nil"/>
              <w:left w:val="nil"/>
              <w:bottom w:val="nil"/>
              <w:right w:val="single" w:sz="4" w:space="0" w:color="auto"/>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10.58</w:t>
            </w:r>
          </w:p>
        </w:tc>
      </w:tr>
      <w:tr w:rsidR="004451CB">
        <w:trPr>
          <w:trHeight w:val="300"/>
        </w:trPr>
        <w:tc>
          <w:tcPr>
            <w:tcW w:w="1026" w:type="pct"/>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College</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15.13</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12.88</w:t>
            </w:r>
          </w:p>
        </w:tc>
        <w:tc>
          <w:tcPr>
            <w:tcW w:w="795" w:type="pct"/>
            <w:tcBorders>
              <w:top w:val="nil"/>
              <w:left w:val="nil"/>
              <w:bottom w:val="nil"/>
              <w:right w:val="nil"/>
            </w:tcBorders>
            <w:shd w:val="clear" w:color="auto" w:fill="auto"/>
            <w:noWrap/>
            <w:tcMar>
              <w:left w:w="0" w:type="dxa"/>
              <w:right w:w="454"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16.77</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17.11</w:t>
            </w:r>
          </w:p>
        </w:tc>
        <w:tc>
          <w:tcPr>
            <w:tcW w:w="794" w:type="pct"/>
            <w:tcBorders>
              <w:top w:val="nil"/>
              <w:left w:val="nil"/>
              <w:bottom w:val="nil"/>
              <w:right w:val="single" w:sz="4" w:space="0" w:color="auto"/>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13.74</w:t>
            </w:r>
          </w:p>
        </w:tc>
      </w:tr>
      <w:tr w:rsidR="004451CB">
        <w:trPr>
          <w:trHeight w:val="300"/>
        </w:trPr>
        <w:tc>
          <w:tcPr>
            <w:tcW w:w="1026" w:type="pct"/>
            <w:tcBorders>
              <w:top w:val="nil"/>
              <w:left w:val="single" w:sz="4" w:space="0" w:color="auto"/>
              <w:bottom w:val="nil"/>
              <w:right w:val="nil"/>
            </w:tcBorders>
            <w:shd w:val="clear" w:color="auto" w:fill="auto"/>
            <w:noWrap/>
            <w:vAlign w:val="center"/>
            <w:hideMark/>
          </w:tcPr>
          <w:p w:rsidR="004451CB" w:rsidRDefault="000019EE">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University and above</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19.89</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20.07</w:t>
            </w:r>
          </w:p>
        </w:tc>
        <w:tc>
          <w:tcPr>
            <w:tcW w:w="795" w:type="pct"/>
            <w:tcBorders>
              <w:top w:val="nil"/>
              <w:left w:val="nil"/>
              <w:bottom w:val="nil"/>
              <w:right w:val="nil"/>
            </w:tcBorders>
            <w:shd w:val="clear" w:color="auto" w:fill="auto"/>
            <w:noWrap/>
            <w:tcMar>
              <w:left w:w="0" w:type="dxa"/>
              <w:right w:w="454"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19.78</w:t>
            </w:r>
          </w:p>
        </w:tc>
        <w:tc>
          <w:tcPr>
            <w:tcW w:w="795" w:type="pct"/>
            <w:tcBorders>
              <w:top w:val="nil"/>
              <w:left w:val="nil"/>
              <w:bottom w:val="nil"/>
              <w:right w:val="nil"/>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19.87</w:t>
            </w:r>
          </w:p>
        </w:tc>
        <w:tc>
          <w:tcPr>
            <w:tcW w:w="794" w:type="pct"/>
            <w:tcBorders>
              <w:top w:val="nil"/>
              <w:left w:val="nil"/>
              <w:bottom w:val="nil"/>
              <w:right w:val="single" w:sz="4" w:space="0" w:color="auto"/>
            </w:tcBorders>
            <w:shd w:val="clear" w:color="auto" w:fill="auto"/>
            <w:noWrap/>
            <w:tcMar>
              <w:left w:w="0" w:type="dxa"/>
              <w:right w:w="567" w:type="dxa"/>
            </w:tcMar>
            <w:vAlign w:val="center"/>
            <w:hideMark/>
          </w:tcPr>
          <w:p w:rsidR="004451CB" w:rsidRDefault="000019EE">
            <w:pPr>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19.91</w:t>
            </w:r>
          </w:p>
        </w:tc>
      </w:tr>
      <w:tr w:rsidR="004451CB">
        <w:trPr>
          <w:trHeight w:hRule="exact" w:val="57"/>
        </w:trPr>
        <w:tc>
          <w:tcPr>
            <w:tcW w:w="1026" w:type="pct"/>
            <w:tcBorders>
              <w:top w:val="nil"/>
              <w:left w:val="single" w:sz="4" w:space="0" w:color="auto"/>
              <w:bottom w:val="single" w:sz="4" w:space="0" w:color="auto"/>
              <w:right w:val="nil"/>
            </w:tcBorders>
            <w:shd w:val="clear" w:color="auto" w:fill="auto"/>
            <w:noWrap/>
            <w:vAlign w:val="center"/>
            <w:hideMark/>
          </w:tcPr>
          <w:p w:rsidR="004451CB" w:rsidRDefault="000019EE">
            <w:pPr>
              <w:spacing w:after="0" w:line="240" w:lineRule="auto"/>
              <w:rPr>
                <w:rFonts w:ascii="Calibri" w:eastAsia="Times New Roman" w:hAnsi="Calibri" w:cs="Times New Roman"/>
                <w:color w:val="000000"/>
              </w:rPr>
            </w:pPr>
            <w:r>
              <w:rPr>
                <w:rFonts w:ascii="Calibri" w:eastAsia="Times New Roman" w:hAnsi="Calibri" w:cs="Times New Roman"/>
                <w:color w:val="000000"/>
              </w:rPr>
              <w:t> </w:t>
            </w:r>
          </w:p>
        </w:tc>
        <w:tc>
          <w:tcPr>
            <w:tcW w:w="795" w:type="pct"/>
            <w:tcBorders>
              <w:top w:val="nil"/>
              <w:left w:val="nil"/>
              <w:bottom w:val="single" w:sz="4" w:space="0" w:color="auto"/>
              <w:right w:val="nil"/>
            </w:tcBorders>
            <w:shd w:val="clear" w:color="auto" w:fill="auto"/>
            <w:noWrap/>
            <w:vAlign w:val="center"/>
            <w:hideMark/>
          </w:tcPr>
          <w:p w:rsidR="004451CB" w:rsidRDefault="000019EE">
            <w:pPr>
              <w:spacing w:after="0" w:line="240" w:lineRule="auto"/>
              <w:rPr>
                <w:rFonts w:ascii="Calibri" w:eastAsia="Times New Roman" w:hAnsi="Calibri" w:cs="Times New Roman"/>
                <w:color w:val="000000"/>
              </w:rPr>
            </w:pPr>
            <w:r>
              <w:rPr>
                <w:rFonts w:ascii="Calibri" w:eastAsia="Times New Roman" w:hAnsi="Calibri" w:cs="Times New Roman"/>
                <w:color w:val="000000"/>
              </w:rPr>
              <w:t> </w:t>
            </w:r>
          </w:p>
        </w:tc>
        <w:tc>
          <w:tcPr>
            <w:tcW w:w="795" w:type="pct"/>
            <w:tcBorders>
              <w:top w:val="nil"/>
              <w:left w:val="nil"/>
              <w:bottom w:val="single" w:sz="4" w:space="0" w:color="auto"/>
              <w:right w:val="nil"/>
            </w:tcBorders>
            <w:shd w:val="clear" w:color="auto" w:fill="auto"/>
            <w:noWrap/>
            <w:vAlign w:val="center"/>
            <w:hideMark/>
          </w:tcPr>
          <w:p w:rsidR="004451CB" w:rsidRDefault="000019EE">
            <w:pPr>
              <w:spacing w:after="0" w:line="240" w:lineRule="auto"/>
              <w:rPr>
                <w:rFonts w:ascii="Calibri" w:eastAsia="Times New Roman" w:hAnsi="Calibri" w:cs="Times New Roman"/>
                <w:color w:val="000000"/>
              </w:rPr>
            </w:pPr>
            <w:r>
              <w:rPr>
                <w:rFonts w:ascii="Calibri" w:eastAsia="Times New Roman" w:hAnsi="Calibri" w:cs="Times New Roman"/>
                <w:color w:val="000000"/>
              </w:rPr>
              <w:t> </w:t>
            </w:r>
          </w:p>
        </w:tc>
        <w:tc>
          <w:tcPr>
            <w:tcW w:w="795" w:type="pct"/>
            <w:tcBorders>
              <w:top w:val="nil"/>
              <w:left w:val="nil"/>
              <w:bottom w:val="single" w:sz="4" w:space="0" w:color="auto"/>
              <w:right w:val="nil"/>
            </w:tcBorders>
            <w:shd w:val="clear" w:color="auto" w:fill="auto"/>
            <w:noWrap/>
            <w:vAlign w:val="center"/>
            <w:hideMark/>
          </w:tcPr>
          <w:p w:rsidR="004451CB" w:rsidRDefault="000019EE">
            <w:pPr>
              <w:spacing w:after="0" w:line="240" w:lineRule="auto"/>
              <w:rPr>
                <w:rFonts w:ascii="Calibri" w:eastAsia="Times New Roman" w:hAnsi="Calibri" w:cs="Times New Roman"/>
                <w:color w:val="000000"/>
              </w:rPr>
            </w:pPr>
            <w:r>
              <w:rPr>
                <w:rFonts w:ascii="Calibri" w:eastAsia="Times New Roman" w:hAnsi="Calibri" w:cs="Times New Roman"/>
                <w:color w:val="000000"/>
              </w:rPr>
              <w:t> </w:t>
            </w:r>
          </w:p>
        </w:tc>
        <w:tc>
          <w:tcPr>
            <w:tcW w:w="795" w:type="pct"/>
            <w:tcBorders>
              <w:top w:val="nil"/>
              <w:left w:val="nil"/>
              <w:bottom w:val="single" w:sz="4" w:space="0" w:color="auto"/>
              <w:right w:val="nil"/>
            </w:tcBorders>
            <w:shd w:val="clear" w:color="auto" w:fill="auto"/>
            <w:noWrap/>
            <w:vAlign w:val="center"/>
            <w:hideMark/>
          </w:tcPr>
          <w:p w:rsidR="004451CB" w:rsidRDefault="000019EE">
            <w:pPr>
              <w:spacing w:after="0" w:line="240" w:lineRule="auto"/>
              <w:rPr>
                <w:rFonts w:ascii="Calibri" w:eastAsia="Times New Roman" w:hAnsi="Calibri" w:cs="Times New Roman"/>
                <w:color w:val="000000"/>
              </w:rPr>
            </w:pPr>
            <w:r>
              <w:rPr>
                <w:rFonts w:ascii="Calibri" w:eastAsia="Times New Roman" w:hAnsi="Calibri" w:cs="Times New Roman"/>
                <w:color w:val="000000"/>
              </w:rPr>
              <w:t> </w:t>
            </w:r>
          </w:p>
        </w:tc>
        <w:tc>
          <w:tcPr>
            <w:tcW w:w="794" w:type="pct"/>
            <w:tcBorders>
              <w:top w:val="nil"/>
              <w:left w:val="nil"/>
              <w:bottom w:val="single" w:sz="4" w:space="0" w:color="auto"/>
              <w:right w:val="single" w:sz="4" w:space="0" w:color="auto"/>
            </w:tcBorders>
            <w:shd w:val="clear" w:color="auto" w:fill="auto"/>
            <w:noWrap/>
            <w:vAlign w:val="center"/>
            <w:hideMark/>
          </w:tcPr>
          <w:p w:rsidR="004451CB" w:rsidRDefault="000019EE">
            <w:pPr>
              <w:spacing w:after="0" w:line="240" w:lineRule="auto"/>
              <w:rPr>
                <w:rFonts w:ascii="Calibri" w:eastAsia="Times New Roman" w:hAnsi="Calibri" w:cs="Times New Roman"/>
                <w:color w:val="000000"/>
              </w:rPr>
            </w:pPr>
            <w:r>
              <w:rPr>
                <w:rFonts w:ascii="Calibri" w:eastAsia="Times New Roman" w:hAnsi="Calibri" w:cs="Times New Roman"/>
                <w:color w:val="000000"/>
              </w:rPr>
              <w:t> </w:t>
            </w:r>
          </w:p>
        </w:tc>
      </w:tr>
    </w:tbl>
    <w:p w:rsidR="005D48AC" w:rsidRDefault="005D48AC" w:rsidP="005D48AC">
      <w:pPr>
        <w:widowControl w:val="0"/>
        <w:autoSpaceDE w:val="0"/>
        <w:autoSpaceDN w:val="0"/>
        <w:adjustRightInd w:val="0"/>
        <w:spacing w:after="0" w:line="240" w:lineRule="auto"/>
      </w:pPr>
    </w:p>
    <w:p w:rsidR="005D48AC" w:rsidRDefault="005D48AC">
      <w:r>
        <w:br w:type="page"/>
      </w: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5D48AC" w:rsidRDefault="005D48AC" w:rsidP="005D48AC">
      <w:pPr>
        <w:widowControl w:val="0"/>
        <w:autoSpaceDE w:val="0"/>
        <w:autoSpaceDN w:val="0"/>
        <w:adjustRightInd w:val="0"/>
        <w:spacing w:after="0" w:line="240" w:lineRule="auto"/>
        <w:rPr>
          <w:rFonts w:ascii="Times New Roman" w:hAnsi="Times New Roman" w:cs="Times New Roman"/>
          <w:b/>
          <w:bCs/>
          <w:sz w:val="47"/>
          <w:szCs w:val="47"/>
        </w:rPr>
      </w:pPr>
    </w:p>
    <w:p w:rsidR="004451CB" w:rsidRDefault="005D48AC" w:rsidP="005D48AC">
      <w:pPr>
        <w:widowControl w:val="0"/>
        <w:autoSpaceDE w:val="0"/>
        <w:autoSpaceDN w:val="0"/>
        <w:adjustRightInd w:val="0"/>
        <w:spacing w:after="0" w:line="240" w:lineRule="auto"/>
        <w:jc w:val="center"/>
      </w:pPr>
      <w:r>
        <w:rPr>
          <w:rFonts w:ascii="Times New Roman" w:hAnsi="Times New Roman" w:cs="Times New Roman"/>
          <w:b/>
          <w:bCs/>
          <w:sz w:val="47"/>
          <w:szCs w:val="47"/>
        </w:rPr>
        <w:t>III. TABULATED TABLES</w:t>
      </w:r>
    </w:p>
    <w:sectPr w:rsidR="004451CB" w:rsidSect="005D48AC">
      <w:pgSz w:w="11904" w:h="16840"/>
      <w:pgMar w:top="1394" w:right="1200" w:bottom="514" w:left="1700" w:header="720" w:footer="720" w:gutter="0"/>
      <w:cols w:space="720" w:equalWidth="0">
        <w:col w:w="9000" w:space="454"/>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0DB" w:rsidRDefault="00A310DB" w:rsidP="00D954D5">
      <w:pPr>
        <w:spacing w:after="0" w:line="240" w:lineRule="auto"/>
      </w:pPr>
      <w:r>
        <w:separator/>
      </w:r>
    </w:p>
  </w:endnote>
  <w:endnote w:type="continuationSeparator" w:id="0">
    <w:p w:rsidR="00A310DB" w:rsidRDefault="00A310DB" w:rsidP="00D95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245252"/>
      <w:docPartObj>
        <w:docPartGallery w:val="Page Numbers (Bottom of Page)"/>
        <w:docPartUnique/>
      </w:docPartObj>
    </w:sdtPr>
    <w:sdtEndPr>
      <w:rPr>
        <w:noProof/>
      </w:rPr>
    </w:sdtEndPr>
    <w:sdtContent>
      <w:p w:rsidR="00D954D5" w:rsidRDefault="006E50FB">
        <w:pPr>
          <w:pStyle w:val="Footer"/>
          <w:jc w:val="right"/>
        </w:pPr>
        <w:r>
          <w:fldChar w:fldCharType="begin"/>
        </w:r>
        <w:r w:rsidR="00D954D5">
          <w:instrText xml:space="preserve"> PAGE   \* MERGEFORMAT </w:instrText>
        </w:r>
        <w:r>
          <w:fldChar w:fldCharType="separate"/>
        </w:r>
        <w:r w:rsidR="00FB4947">
          <w:rPr>
            <w:noProof/>
          </w:rPr>
          <w:t>13</w:t>
        </w:r>
        <w:r>
          <w:rPr>
            <w:noProof/>
          </w:rPr>
          <w:fldChar w:fldCharType="end"/>
        </w:r>
      </w:p>
    </w:sdtContent>
  </w:sdt>
  <w:p w:rsidR="00D954D5" w:rsidRDefault="00D954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0DB" w:rsidRDefault="00A310DB" w:rsidP="00D954D5">
      <w:pPr>
        <w:spacing w:after="0" w:line="240" w:lineRule="auto"/>
      </w:pPr>
      <w:r>
        <w:separator/>
      </w:r>
    </w:p>
  </w:footnote>
  <w:footnote w:type="continuationSeparator" w:id="0">
    <w:p w:rsidR="00A310DB" w:rsidRDefault="00A310DB" w:rsidP="00D954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D6"/>
    <w:multiLevelType w:val="hybridMultilevel"/>
    <w:tmpl w:val="000072AE"/>
    <w:lvl w:ilvl="0" w:tplc="00006952">
      <w:start w:val="1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6784"/>
    <w:multiLevelType w:val="hybridMultilevel"/>
    <w:tmpl w:val="00004AE1"/>
    <w:lvl w:ilvl="0" w:tplc="00003D6C">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E22F32"/>
    <w:multiLevelType w:val="hybridMultilevel"/>
    <w:tmpl w:val="68DAE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4377F7"/>
    <w:multiLevelType w:val="hybridMultilevel"/>
    <w:tmpl w:val="D1FAE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143983"/>
    <w:multiLevelType w:val="hybridMultilevel"/>
    <w:tmpl w:val="8A08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7E0056"/>
    <w:multiLevelType w:val="hybridMultilevel"/>
    <w:tmpl w:val="A7EA3DBE"/>
    <w:lvl w:ilvl="0" w:tplc="36FCD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F26AB1"/>
    <w:multiLevelType w:val="hybridMultilevel"/>
    <w:tmpl w:val="387C6990"/>
    <w:lvl w:ilvl="0" w:tplc="6C7C3C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97787A"/>
    <w:multiLevelType w:val="hybridMultilevel"/>
    <w:tmpl w:val="142E9BDA"/>
    <w:lvl w:ilvl="0" w:tplc="D7B031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DA06CF"/>
    <w:multiLevelType w:val="hybridMultilevel"/>
    <w:tmpl w:val="B8146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9"/>
  </w:num>
  <w:num w:numId="5">
    <w:abstractNumId w:val="5"/>
  </w:num>
  <w:num w:numId="6">
    <w:abstractNumId w:val="8"/>
  </w:num>
  <w:num w:numId="7">
    <w:abstractNumId w:val="4"/>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CB"/>
    <w:rsid w:val="000019EE"/>
    <w:rsid w:val="002B7943"/>
    <w:rsid w:val="004451CB"/>
    <w:rsid w:val="005D48AC"/>
    <w:rsid w:val="006009EF"/>
    <w:rsid w:val="006A1642"/>
    <w:rsid w:val="006E50FB"/>
    <w:rsid w:val="00832803"/>
    <w:rsid w:val="009C71A2"/>
    <w:rsid w:val="00A310DB"/>
    <w:rsid w:val="00B37102"/>
    <w:rsid w:val="00C925EB"/>
    <w:rsid w:val="00D954D5"/>
    <w:rsid w:val="00DF2CDC"/>
    <w:rsid w:val="00EF40DB"/>
    <w:rsid w:val="00FB49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5E3F0E-89C7-4AD1-96A1-D5DD70F24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C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F2CDC"/>
    <w:pPr>
      <w:widowControl w:val="0"/>
      <w:spacing w:before="120" w:after="0" w:line="240" w:lineRule="auto"/>
    </w:pPr>
  </w:style>
  <w:style w:type="character" w:customStyle="1" w:styleId="BalloonTextChar">
    <w:name w:val="Balloon Text Char"/>
    <w:basedOn w:val="DefaultParagraphFont"/>
    <w:link w:val="BalloonText"/>
    <w:uiPriority w:val="99"/>
    <w:semiHidden/>
    <w:rsid w:val="00DF2CDC"/>
    <w:rPr>
      <w:rFonts w:ascii="Tahoma" w:eastAsiaTheme="minorEastAsia" w:hAnsi="Tahoma" w:cs="Tahoma"/>
      <w:sz w:val="16"/>
      <w:szCs w:val="16"/>
    </w:rPr>
  </w:style>
  <w:style w:type="paragraph" w:styleId="BalloonText">
    <w:name w:val="Balloon Text"/>
    <w:basedOn w:val="Normal"/>
    <w:link w:val="BalloonTextChar"/>
    <w:uiPriority w:val="99"/>
    <w:semiHidden/>
    <w:unhideWhenUsed/>
    <w:rsid w:val="00DF2CDC"/>
    <w:pPr>
      <w:spacing w:before="120" w:after="0" w:line="240" w:lineRule="auto"/>
    </w:pPr>
    <w:rPr>
      <w:rFonts w:ascii="Tahoma" w:eastAsiaTheme="minorEastAsia" w:hAnsi="Tahoma" w:cs="Tahoma"/>
      <w:sz w:val="16"/>
      <w:szCs w:val="16"/>
    </w:rPr>
  </w:style>
  <w:style w:type="table" w:styleId="TableGrid">
    <w:name w:val="Table Grid"/>
    <w:basedOn w:val="TableNormal"/>
    <w:uiPriority w:val="59"/>
    <w:rsid w:val="00DF2CDC"/>
    <w:pPr>
      <w:spacing w:before="120"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F2CDC"/>
    <w:pPr>
      <w:spacing w:before="120" w:after="120" w:line="300" w:lineRule="auto"/>
      <w:ind w:left="720"/>
      <w:contextualSpacing/>
    </w:pPr>
    <w:rPr>
      <w:rFonts w:eastAsiaTheme="minorEastAsia"/>
    </w:rPr>
  </w:style>
  <w:style w:type="character" w:customStyle="1" w:styleId="CommentTextChar">
    <w:name w:val="Comment Text Char"/>
    <w:basedOn w:val="DefaultParagraphFont"/>
    <w:link w:val="CommentText"/>
    <w:uiPriority w:val="99"/>
    <w:semiHidden/>
    <w:rsid w:val="00DF2CDC"/>
    <w:rPr>
      <w:rFonts w:eastAsiaTheme="minorEastAsia"/>
      <w:sz w:val="20"/>
      <w:szCs w:val="20"/>
    </w:rPr>
  </w:style>
  <w:style w:type="paragraph" w:styleId="CommentText">
    <w:name w:val="annotation text"/>
    <w:basedOn w:val="Normal"/>
    <w:link w:val="CommentTextChar"/>
    <w:uiPriority w:val="99"/>
    <w:semiHidden/>
    <w:unhideWhenUsed/>
    <w:rsid w:val="00DF2CDC"/>
    <w:pPr>
      <w:spacing w:before="120" w:after="120" w:line="240" w:lineRule="auto"/>
    </w:pPr>
    <w:rPr>
      <w:rFonts w:eastAsiaTheme="minorEastAsia"/>
      <w:sz w:val="20"/>
      <w:szCs w:val="20"/>
    </w:rPr>
  </w:style>
  <w:style w:type="character" w:customStyle="1" w:styleId="CommentSubjectChar">
    <w:name w:val="Comment Subject Char"/>
    <w:basedOn w:val="CommentTextChar"/>
    <w:link w:val="CommentSubject"/>
    <w:uiPriority w:val="99"/>
    <w:semiHidden/>
    <w:rsid w:val="00DF2CDC"/>
    <w:rPr>
      <w:rFonts w:eastAsiaTheme="minorEastAsia"/>
      <w:b/>
      <w:bCs/>
      <w:sz w:val="20"/>
      <w:szCs w:val="20"/>
    </w:rPr>
  </w:style>
  <w:style w:type="paragraph" w:styleId="CommentSubject">
    <w:name w:val="annotation subject"/>
    <w:basedOn w:val="CommentText"/>
    <w:next w:val="CommentText"/>
    <w:link w:val="CommentSubjectChar"/>
    <w:uiPriority w:val="99"/>
    <w:semiHidden/>
    <w:unhideWhenUsed/>
    <w:rsid w:val="00DF2CDC"/>
    <w:rPr>
      <w:b/>
      <w:bCs/>
    </w:rPr>
  </w:style>
  <w:style w:type="character" w:customStyle="1" w:styleId="hps">
    <w:name w:val="hps"/>
    <w:basedOn w:val="DefaultParagraphFont"/>
    <w:rsid w:val="00DF2CDC"/>
  </w:style>
  <w:style w:type="paragraph" w:styleId="NoSpacing">
    <w:name w:val="No Spacing"/>
    <w:link w:val="NoSpacingChar"/>
    <w:uiPriority w:val="1"/>
    <w:qFormat/>
    <w:rsid w:val="00D954D5"/>
    <w:pPr>
      <w:spacing w:after="0" w:line="240" w:lineRule="auto"/>
    </w:pPr>
    <w:rPr>
      <w:rFonts w:eastAsiaTheme="minorEastAsia"/>
    </w:rPr>
  </w:style>
  <w:style w:type="character" w:customStyle="1" w:styleId="NoSpacingChar">
    <w:name w:val="No Spacing Char"/>
    <w:basedOn w:val="DefaultParagraphFont"/>
    <w:link w:val="NoSpacing"/>
    <w:uiPriority w:val="1"/>
    <w:rsid w:val="00D954D5"/>
    <w:rPr>
      <w:rFonts w:eastAsiaTheme="minorEastAsia"/>
    </w:rPr>
  </w:style>
  <w:style w:type="paragraph" w:styleId="Header">
    <w:name w:val="header"/>
    <w:basedOn w:val="Normal"/>
    <w:link w:val="HeaderChar"/>
    <w:uiPriority w:val="99"/>
    <w:unhideWhenUsed/>
    <w:rsid w:val="00D954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4D5"/>
  </w:style>
  <w:style w:type="paragraph" w:styleId="Footer">
    <w:name w:val="footer"/>
    <w:basedOn w:val="Normal"/>
    <w:link w:val="FooterChar"/>
    <w:uiPriority w:val="99"/>
    <w:unhideWhenUsed/>
    <w:rsid w:val="00D954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Nguyen\Desktop\Bac%20Giang\Desktop\lao%20dong\2015\spss%20cho%20bao%20cao\20-4\bao%20cao%20quy%201%20du%20thao\Book_bieu%20quy%201_201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LDVL\LDVL_2015\CMKT%2018.6\CMKT_THEO%20SO%20VL%20FIXED%20QUY%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0340470311725832E-2"/>
          <c:y val="0.13204671563705545"/>
          <c:w val="0.87294966444328714"/>
          <c:h val="0.74750409554511121"/>
        </c:manualLayout>
      </c:layout>
      <c:lineChart>
        <c:grouping val="standard"/>
        <c:varyColors val="0"/>
        <c:ser>
          <c:idx val="0"/>
          <c:order val="0"/>
          <c:tx>
            <c:strRef>
              <c:f>Sheet18!$L$1</c:f>
              <c:strCache>
                <c:ptCount val="1"/>
                <c:pt idx="0">
                  <c:v>Thành thị</c:v>
                </c:pt>
              </c:strCache>
            </c:strRef>
          </c:tx>
          <c:spPr>
            <a:ln w="22225"/>
          </c:spPr>
          <c:marker>
            <c:symbol val="triangle"/>
            <c:size val="7"/>
          </c:marker>
          <c:cat>
            <c:strRef>
              <c:f>Sheet18!$K$2:$K$12</c:f>
              <c:strCache>
                <c:ptCount val="11"/>
                <c:pt idx="0">
                  <c:v>15 - 19</c:v>
                </c:pt>
                <c:pt idx="1">
                  <c:v>20 - 24</c:v>
                </c:pt>
                <c:pt idx="2">
                  <c:v>25 - 29</c:v>
                </c:pt>
                <c:pt idx="3">
                  <c:v>30 - 34</c:v>
                </c:pt>
                <c:pt idx="4">
                  <c:v>35 - 39</c:v>
                </c:pt>
                <c:pt idx="5">
                  <c:v>40 - 44</c:v>
                </c:pt>
                <c:pt idx="6">
                  <c:v>45 - 49</c:v>
                </c:pt>
                <c:pt idx="7">
                  <c:v>50 - 54</c:v>
                </c:pt>
                <c:pt idx="8">
                  <c:v>55 - 59</c:v>
                </c:pt>
                <c:pt idx="9">
                  <c:v>60 - 64</c:v>
                </c:pt>
                <c:pt idx="10">
                  <c:v>65+</c:v>
                </c:pt>
              </c:strCache>
            </c:strRef>
          </c:cat>
          <c:val>
            <c:numRef>
              <c:f>Sheet18!$L$2:$L$12</c:f>
              <c:numCache>
                <c:formatCode>0.0</c:formatCode>
                <c:ptCount val="11"/>
                <c:pt idx="0">
                  <c:v>2.9997401424606722</c:v>
                </c:pt>
                <c:pt idx="1">
                  <c:v>11.196304461593048</c:v>
                </c:pt>
                <c:pt idx="2">
                  <c:v>12.896758331430034</c:v>
                </c:pt>
                <c:pt idx="3">
                  <c:v>14.625981182888317</c:v>
                </c:pt>
                <c:pt idx="4">
                  <c:v>13.145439165718306</c:v>
                </c:pt>
                <c:pt idx="5">
                  <c:v>12.520553533834596</c:v>
                </c:pt>
                <c:pt idx="6">
                  <c:v>11.044417508963082</c:v>
                </c:pt>
                <c:pt idx="7">
                  <c:v>9.9941807687351485</c:v>
                </c:pt>
                <c:pt idx="8">
                  <c:v>6.3051223423546494</c:v>
                </c:pt>
                <c:pt idx="9">
                  <c:v>3.0441306465009839</c:v>
                </c:pt>
                <c:pt idx="10">
                  <c:v>2.2273719155239844</c:v>
                </c:pt>
              </c:numCache>
            </c:numRef>
          </c:val>
          <c:smooth val="0"/>
        </c:ser>
        <c:ser>
          <c:idx val="1"/>
          <c:order val="1"/>
          <c:tx>
            <c:strRef>
              <c:f>Sheet18!$M$1</c:f>
              <c:strCache>
                <c:ptCount val="1"/>
                <c:pt idx="0">
                  <c:v>Nông thôn </c:v>
                </c:pt>
              </c:strCache>
            </c:strRef>
          </c:tx>
          <c:spPr>
            <a:ln w="22225"/>
          </c:spPr>
          <c:marker>
            <c:symbol val="square"/>
            <c:size val="6"/>
          </c:marker>
          <c:cat>
            <c:strRef>
              <c:f>Sheet18!$K$2:$K$12</c:f>
              <c:strCache>
                <c:ptCount val="11"/>
                <c:pt idx="0">
                  <c:v>15 - 19</c:v>
                </c:pt>
                <c:pt idx="1">
                  <c:v>20 - 24</c:v>
                </c:pt>
                <c:pt idx="2">
                  <c:v>25 - 29</c:v>
                </c:pt>
                <c:pt idx="3">
                  <c:v>30 - 34</c:v>
                </c:pt>
                <c:pt idx="4">
                  <c:v>35 - 39</c:v>
                </c:pt>
                <c:pt idx="5">
                  <c:v>40 - 44</c:v>
                </c:pt>
                <c:pt idx="6">
                  <c:v>45 - 49</c:v>
                </c:pt>
                <c:pt idx="7">
                  <c:v>50 - 54</c:v>
                </c:pt>
                <c:pt idx="8">
                  <c:v>55 - 59</c:v>
                </c:pt>
                <c:pt idx="9">
                  <c:v>60 - 64</c:v>
                </c:pt>
                <c:pt idx="10">
                  <c:v>65+</c:v>
                </c:pt>
              </c:strCache>
            </c:strRef>
          </c:cat>
          <c:val>
            <c:numRef>
              <c:f>Sheet18!$M$2:$M$12</c:f>
              <c:numCache>
                <c:formatCode>0.0</c:formatCode>
                <c:ptCount val="11"/>
                <c:pt idx="0">
                  <c:v>6.1262735860462465</c:v>
                </c:pt>
                <c:pt idx="1">
                  <c:v>11.501494585854006</c:v>
                </c:pt>
                <c:pt idx="2">
                  <c:v>11.307143383862996</c:v>
                </c:pt>
                <c:pt idx="3">
                  <c:v>11.846217262650001</c:v>
                </c:pt>
                <c:pt idx="4">
                  <c:v>11.535697134236434</c:v>
                </c:pt>
                <c:pt idx="5">
                  <c:v>11.291282432557363</c:v>
                </c:pt>
                <c:pt idx="6">
                  <c:v>10.565537766750976</c:v>
                </c:pt>
                <c:pt idx="7">
                  <c:v>9.774965308384699</c:v>
                </c:pt>
                <c:pt idx="8">
                  <c:v>7.0925622940505804</c:v>
                </c:pt>
                <c:pt idx="9">
                  <c:v>4.6125624865487405</c:v>
                </c:pt>
                <c:pt idx="10">
                  <c:v>4.3462637590568534</c:v>
                </c:pt>
              </c:numCache>
            </c:numRef>
          </c:val>
          <c:smooth val="0"/>
        </c:ser>
        <c:dLbls>
          <c:showLegendKey val="0"/>
          <c:showVal val="0"/>
          <c:showCatName val="0"/>
          <c:showSerName val="0"/>
          <c:showPercent val="0"/>
          <c:showBubbleSize val="0"/>
        </c:dLbls>
        <c:marker val="1"/>
        <c:smooth val="0"/>
        <c:axId val="212647840"/>
        <c:axId val="212650584"/>
      </c:lineChart>
      <c:catAx>
        <c:axId val="212647840"/>
        <c:scaling>
          <c:orientation val="minMax"/>
        </c:scaling>
        <c:delete val="0"/>
        <c:axPos val="b"/>
        <c:title>
          <c:tx>
            <c:rich>
              <a:bodyPr/>
              <a:lstStyle/>
              <a:p>
                <a:pPr>
                  <a:defRPr/>
                </a:pPr>
                <a:r>
                  <a:rPr lang="en-US" sz="800">
                    <a:latin typeface="Times New Roman" pitchFamily="18" charset="0"/>
                    <a:cs typeface="Times New Roman" pitchFamily="18" charset="0"/>
                  </a:rPr>
                  <a:t>Age group</a:t>
                </a:r>
              </a:p>
            </c:rich>
          </c:tx>
          <c:layout>
            <c:manualLayout>
              <c:xMode val="edge"/>
              <c:yMode val="edge"/>
              <c:x val="0.90716657917759957"/>
              <c:y val="0.80609910337195378"/>
            </c:manualLayout>
          </c:layout>
          <c:overlay val="0"/>
        </c:title>
        <c:numFmt formatCode="General" sourceLinked="0"/>
        <c:majorTickMark val="cross"/>
        <c:minorTickMark val="none"/>
        <c:tickLblPos val="nextTo"/>
        <c:spPr>
          <a:ln>
            <a:solidFill>
              <a:schemeClr val="tx1"/>
            </a:solidFill>
          </a:ln>
        </c:spPr>
        <c:txPr>
          <a:bodyPr/>
          <a:lstStyle/>
          <a:p>
            <a:pPr>
              <a:defRPr sz="800" b="1">
                <a:latin typeface="Times New Roman" pitchFamily="18" charset="0"/>
                <a:cs typeface="Times New Roman" pitchFamily="18" charset="0"/>
              </a:defRPr>
            </a:pPr>
            <a:endParaRPr lang="en-US"/>
          </a:p>
        </c:txPr>
        <c:crossAx val="212650584"/>
        <c:crosses val="autoZero"/>
        <c:auto val="1"/>
        <c:lblAlgn val="ctr"/>
        <c:lblOffset val="100"/>
        <c:noMultiLvlLbl val="0"/>
      </c:catAx>
      <c:valAx>
        <c:axId val="212650584"/>
        <c:scaling>
          <c:orientation val="minMax"/>
        </c:scaling>
        <c:delete val="0"/>
        <c:axPos val="l"/>
        <c:title>
          <c:tx>
            <c:rich>
              <a:bodyPr rot="0" vert="horz"/>
              <a:lstStyle/>
              <a:p>
                <a:pPr>
                  <a:defRPr/>
                </a:pPr>
                <a:r>
                  <a:rPr lang="en-US" sz="800">
                    <a:latin typeface="Times New Roman" pitchFamily="18" charset="0"/>
                    <a:cs typeface="Times New Roman" pitchFamily="18" charset="0"/>
                  </a:rPr>
                  <a:t>Percentage</a:t>
                </a:r>
              </a:p>
            </c:rich>
          </c:tx>
          <c:layout>
            <c:manualLayout>
              <c:xMode val="edge"/>
              <c:yMode val="edge"/>
              <c:x val="4.9921996879875433E-2"/>
              <c:y val="3.9706529972344071E-2"/>
            </c:manualLayout>
          </c:layout>
          <c:overlay val="0"/>
        </c:title>
        <c:numFmt formatCode="0.0" sourceLinked="1"/>
        <c:majorTickMark val="cross"/>
        <c:minorTickMark val="none"/>
        <c:tickLblPos val="nextTo"/>
        <c:spPr>
          <a:ln w="12700">
            <a:solidFill>
              <a:sysClr val="windowText" lastClr="000000"/>
            </a:solidFill>
          </a:ln>
        </c:spPr>
        <c:txPr>
          <a:bodyPr/>
          <a:lstStyle/>
          <a:p>
            <a:pPr>
              <a:defRPr sz="800" b="1">
                <a:latin typeface="Times New Roman" pitchFamily="18" charset="0"/>
                <a:cs typeface="Times New Roman" pitchFamily="18" charset="0"/>
              </a:defRPr>
            </a:pPr>
            <a:endParaRPr lang="en-US"/>
          </a:p>
        </c:txPr>
        <c:crossAx val="212647840"/>
        <c:crosses val="autoZero"/>
        <c:crossBetween val="between"/>
      </c:valAx>
      <c:spPr>
        <a:noFill/>
        <a:ln>
          <a:noFill/>
        </a:ln>
      </c:spPr>
    </c:plotArea>
    <c:legend>
      <c:legendPos val="b"/>
      <c:layout>
        <c:manualLayout>
          <c:xMode val="edge"/>
          <c:yMode val="edge"/>
          <c:x val="0.25005499117602498"/>
          <c:y val="0.5690605861767275"/>
          <c:w val="0.36884461205219882"/>
          <c:h val="8.3717191601050026E-2"/>
        </c:manualLayout>
      </c:layout>
      <c:overlay val="0"/>
    </c:legend>
    <c:plotVisOnly val="1"/>
    <c:dispBlanksAs val="gap"/>
    <c:showDLblsOverMax val="0"/>
  </c:chart>
  <c:spPr>
    <a:noFill/>
    <a:ln>
      <a:no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2157261592300964E-2"/>
          <c:y val="8.5657543585292345E-2"/>
          <c:w val="0.88930249343832035"/>
          <c:h val="0.66394151306805826"/>
        </c:manualLayout>
      </c:layout>
      <c:barChart>
        <c:barDir val="col"/>
        <c:grouping val="clustered"/>
        <c:varyColors val="0"/>
        <c:ser>
          <c:idx val="0"/>
          <c:order val="0"/>
          <c:tx>
            <c:strRef>
              <c:f>Sheet1!$B$40</c:f>
              <c:strCache>
                <c:ptCount val="1"/>
                <c:pt idx="0">
                  <c:v>Whole country</c:v>
                </c:pt>
              </c:strCache>
            </c:strRef>
          </c:tx>
          <c:invertIfNegative val="0"/>
          <c:dLbls>
            <c:spPr>
              <a:noFill/>
              <a:ln>
                <a:noFill/>
              </a:ln>
              <a:effectLst/>
            </c:spPr>
            <c:txPr>
              <a:bodyPr/>
              <a:lstStyle/>
              <a:p>
                <a:pPr>
                  <a:defRPr sz="800" b="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Sheet1!$A$41:$A$44</c:f>
              <c:strCache>
                <c:ptCount val="4"/>
                <c:pt idx="0">
                  <c:v>Short-term vocational training</c:v>
                </c:pt>
                <c:pt idx="1">
                  <c:v>Mid-term vocational/professional training</c:v>
                </c:pt>
                <c:pt idx="2">
                  <c:v>College</c:v>
                </c:pt>
                <c:pt idx="3">
                  <c:v>University and above</c:v>
                </c:pt>
              </c:strCache>
            </c:strRef>
          </c:cat>
          <c:val>
            <c:numRef>
              <c:f>Sheet1!$B$41:$B$44</c:f>
              <c:numCache>
                <c:formatCode>0.0</c:formatCode>
                <c:ptCount val="4"/>
                <c:pt idx="0">
                  <c:v>9.1314166340980538</c:v>
                </c:pt>
                <c:pt idx="1">
                  <c:v>23.474596724588928</c:v>
                </c:pt>
                <c:pt idx="2">
                  <c:v>26.425601095574176</c:v>
                </c:pt>
                <c:pt idx="3">
                  <c:v>40.968385545738812</c:v>
                </c:pt>
              </c:numCache>
            </c:numRef>
          </c:val>
        </c:ser>
        <c:ser>
          <c:idx val="1"/>
          <c:order val="1"/>
          <c:tx>
            <c:strRef>
              <c:f>Sheet1!$C$40</c:f>
              <c:strCache>
                <c:ptCount val="1"/>
                <c:pt idx="0">
                  <c:v>Youth</c:v>
                </c:pt>
              </c:strCache>
            </c:strRef>
          </c:tx>
          <c:invertIfNegative val="0"/>
          <c:dLbls>
            <c:spPr>
              <a:noFill/>
              <a:ln>
                <a:noFill/>
              </a:ln>
              <a:effectLst/>
            </c:spPr>
            <c:txPr>
              <a:bodyPr/>
              <a:lstStyle/>
              <a:p>
                <a:pPr>
                  <a:defRPr sz="800" b="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Sheet1!$A$41:$A$44</c:f>
              <c:strCache>
                <c:ptCount val="4"/>
                <c:pt idx="0">
                  <c:v>Short-term vocational training</c:v>
                </c:pt>
                <c:pt idx="1">
                  <c:v>Mid-term vocational/professional training</c:v>
                </c:pt>
                <c:pt idx="2">
                  <c:v>College</c:v>
                </c:pt>
                <c:pt idx="3">
                  <c:v>University and above</c:v>
                </c:pt>
              </c:strCache>
            </c:strRef>
          </c:cat>
          <c:val>
            <c:numRef>
              <c:f>Sheet1!$C$41:$C$44</c:f>
              <c:numCache>
                <c:formatCode>0.0</c:formatCode>
                <c:ptCount val="4"/>
                <c:pt idx="0">
                  <c:v>4.1104218168592785</c:v>
                </c:pt>
                <c:pt idx="1">
                  <c:v>20.789551749943829</c:v>
                </c:pt>
                <c:pt idx="2">
                  <c:v>35.939815995376165</c:v>
                </c:pt>
                <c:pt idx="3">
                  <c:v>39.160210437820787</c:v>
                </c:pt>
              </c:numCache>
            </c:numRef>
          </c:val>
        </c:ser>
        <c:dLbls>
          <c:showLegendKey val="0"/>
          <c:showVal val="0"/>
          <c:showCatName val="0"/>
          <c:showSerName val="0"/>
          <c:showPercent val="0"/>
          <c:showBubbleSize val="0"/>
        </c:dLbls>
        <c:gapWidth val="150"/>
        <c:axId val="212649408"/>
        <c:axId val="212650976"/>
      </c:barChart>
      <c:catAx>
        <c:axId val="212649408"/>
        <c:scaling>
          <c:orientation val="minMax"/>
        </c:scaling>
        <c:delete val="0"/>
        <c:axPos val="b"/>
        <c:numFmt formatCode="General" sourceLinked="0"/>
        <c:majorTickMark val="none"/>
        <c:minorTickMark val="none"/>
        <c:tickLblPos val="nextTo"/>
        <c:spPr>
          <a:ln w="12700">
            <a:solidFill>
              <a:sysClr val="windowText" lastClr="000000"/>
            </a:solidFill>
          </a:ln>
        </c:spPr>
        <c:txPr>
          <a:bodyPr/>
          <a:lstStyle/>
          <a:p>
            <a:pPr>
              <a:defRPr sz="800" b="1">
                <a:latin typeface="Times New Roman" pitchFamily="18" charset="0"/>
                <a:cs typeface="Times New Roman" pitchFamily="18" charset="0"/>
              </a:defRPr>
            </a:pPr>
            <a:endParaRPr lang="en-US"/>
          </a:p>
        </c:txPr>
        <c:crossAx val="212650976"/>
        <c:crosses val="autoZero"/>
        <c:auto val="1"/>
        <c:lblAlgn val="ctr"/>
        <c:lblOffset val="100"/>
        <c:noMultiLvlLbl val="0"/>
      </c:catAx>
      <c:valAx>
        <c:axId val="212650976"/>
        <c:scaling>
          <c:orientation val="minMax"/>
        </c:scaling>
        <c:delete val="0"/>
        <c:axPos val="l"/>
        <c:title>
          <c:tx>
            <c:rich>
              <a:bodyPr rot="0" vert="horz"/>
              <a:lstStyle/>
              <a:p>
                <a:pPr>
                  <a:defRPr sz="800"/>
                </a:pPr>
                <a:r>
                  <a:rPr lang="en-US" sz="700">
                    <a:latin typeface="Times New Roman" pitchFamily="18" charset="0"/>
                    <a:cs typeface="Times New Roman" pitchFamily="18" charset="0"/>
                  </a:rPr>
                  <a:t>%</a:t>
                </a:r>
              </a:p>
            </c:rich>
          </c:tx>
          <c:layout>
            <c:manualLayout>
              <c:xMode val="edge"/>
              <c:yMode val="edge"/>
              <c:x val="3.888888888888889E-2"/>
              <c:y val="3.7491912348165936E-2"/>
            </c:manualLayout>
          </c:layout>
          <c:overlay val="0"/>
        </c:title>
        <c:numFmt formatCode="General" sourceLinked="0"/>
        <c:majorTickMark val="cross"/>
        <c:minorTickMark val="none"/>
        <c:tickLblPos val="nextTo"/>
        <c:spPr>
          <a:ln w="12700">
            <a:solidFill>
              <a:schemeClr val="tx1"/>
            </a:solidFill>
          </a:ln>
        </c:spPr>
        <c:txPr>
          <a:bodyPr/>
          <a:lstStyle/>
          <a:p>
            <a:pPr>
              <a:defRPr sz="800" b="1">
                <a:latin typeface="Times New Roman" pitchFamily="18" charset="0"/>
                <a:cs typeface="Times New Roman" pitchFamily="18" charset="0"/>
              </a:defRPr>
            </a:pPr>
            <a:endParaRPr lang="en-US"/>
          </a:p>
        </c:txPr>
        <c:crossAx val="212649408"/>
        <c:crosses val="autoZero"/>
        <c:crossBetween val="between"/>
      </c:valAx>
      <c:spPr>
        <a:noFill/>
        <a:ln>
          <a:noFill/>
        </a:ln>
      </c:spPr>
    </c:plotArea>
    <c:legend>
      <c:legendPos val="r"/>
      <c:layout>
        <c:manualLayout>
          <c:xMode val="edge"/>
          <c:yMode val="edge"/>
          <c:x val="0.11812642169728815"/>
          <c:y val="0.20680555555555555"/>
          <c:w val="0.28742913385826896"/>
          <c:h val="0.15431321084864391"/>
        </c:manualLayout>
      </c:layout>
      <c:overlay val="0"/>
      <c:txPr>
        <a:bodyPr/>
        <a:lstStyle/>
        <a:p>
          <a:pPr>
            <a:defRPr sz="700" b="1">
              <a:latin typeface="Times New Roman" pitchFamily="18" charset="0"/>
              <a:cs typeface="Times New Roman" pitchFamily="18" charset="0"/>
            </a:defRPr>
          </a:pPr>
          <a:endParaRPr lang="en-US"/>
        </a:p>
      </c:txPr>
    </c:legend>
    <c:plotVisOnly val="1"/>
    <c:dispBlanksAs val="gap"/>
    <c:showDLblsOverMax val="0"/>
  </c:chart>
  <c:spPr>
    <a:noFill/>
    <a:ln>
      <a:noFill/>
    </a:ln>
  </c:sp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0.3353</cdr:x>
      <cdr:y>0.55969</cdr:y>
    </cdr:from>
    <cdr:to>
      <cdr:x>0.43965</cdr:x>
      <cdr:y>0.63452</cdr:y>
    </cdr:to>
    <cdr:sp macro="" textlink="">
      <cdr:nvSpPr>
        <cdr:cNvPr id="2" name="TextBox 1"/>
        <cdr:cNvSpPr txBox="1"/>
      </cdr:nvSpPr>
      <cdr:spPr>
        <a:xfrm xmlns:a="http://schemas.openxmlformats.org/drawingml/2006/main">
          <a:off x="1916264" y="1486894"/>
          <a:ext cx="596348" cy="198783"/>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000">
              <a:latin typeface="Times New Roman" pitchFamily="18" charset="0"/>
              <a:cs typeface="Times New Roman" pitchFamily="18" charset="0"/>
            </a:rPr>
            <a:t>Urban</a:t>
          </a:r>
        </a:p>
      </cdr:txBody>
    </cdr:sp>
  </cdr:relSizeAnchor>
  <cdr:relSizeAnchor xmlns:cdr="http://schemas.openxmlformats.org/drawingml/2006/chartDrawing">
    <cdr:from>
      <cdr:x>0.4953</cdr:x>
      <cdr:y>0.55371</cdr:y>
    </cdr:from>
    <cdr:to>
      <cdr:x>0.59826</cdr:x>
      <cdr:y>0.63751</cdr:y>
    </cdr:to>
    <cdr:sp macro="" textlink="">
      <cdr:nvSpPr>
        <cdr:cNvPr id="3" name="TextBox 2"/>
        <cdr:cNvSpPr txBox="1"/>
      </cdr:nvSpPr>
      <cdr:spPr>
        <a:xfrm xmlns:a="http://schemas.openxmlformats.org/drawingml/2006/main">
          <a:off x="2830664" y="1470992"/>
          <a:ext cx="588397" cy="222636"/>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000">
              <a:latin typeface="Times New Roman" pitchFamily="18" charset="0"/>
              <a:cs typeface="Times New Roman" pitchFamily="18" charset="0"/>
            </a:rPr>
            <a:t>Rural</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B9058-B86A-4F00-B6C0-316004C1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4306</Words>
  <Characters>24548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giangnh.narime@hotmail.com</dc:creator>
  <cp:lastModifiedBy>nttmai</cp:lastModifiedBy>
  <cp:revision>2</cp:revision>
  <cp:lastPrinted>2015-06-19T14:23:00Z</cp:lastPrinted>
  <dcterms:created xsi:type="dcterms:W3CDTF">2015-09-25T06:21:00Z</dcterms:created>
  <dcterms:modified xsi:type="dcterms:W3CDTF">2015-09-25T06:21:00Z</dcterms:modified>
</cp:coreProperties>
</file>